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D01F" w14:textId="274A4B13" w:rsidR="006C285D" w:rsidRPr="006C39FE" w:rsidRDefault="005F06EA" w:rsidP="009346BD">
      <w:pPr>
        <w:tabs>
          <w:tab w:val="left" w:pos="-1094"/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  <w:r>
        <w:t xml:space="preserve"> </w:t>
      </w:r>
      <w:r w:rsidR="006C285D" w:rsidRPr="006C39FE">
        <w:rPr>
          <w:rFonts w:cs="Arial"/>
          <w:szCs w:val="22"/>
        </w:rPr>
        <w:t>CANADA</w:t>
      </w:r>
    </w:p>
    <w:p w14:paraId="291100DE" w14:textId="77777777" w:rsidR="006C285D" w:rsidRPr="006C39FE" w:rsidRDefault="006C285D" w:rsidP="009346BD">
      <w:pPr>
        <w:tabs>
          <w:tab w:val="left" w:pos="-1094"/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  <w:r w:rsidRPr="006C39FE">
        <w:rPr>
          <w:rFonts w:cs="Arial"/>
          <w:szCs w:val="22"/>
        </w:rPr>
        <w:t>PROVINCE DE QUÉBEC</w:t>
      </w:r>
    </w:p>
    <w:p w14:paraId="0C5B02B1" w14:textId="77777777" w:rsidR="006C285D" w:rsidRPr="006C39FE" w:rsidRDefault="006C285D" w:rsidP="009346BD">
      <w:pPr>
        <w:tabs>
          <w:tab w:val="left" w:pos="-1094"/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  <w:r w:rsidRPr="006C39FE">
        <w:rPr>
          <w:rFonts w:cs="Arial"/>
          <w:szCs w:val="22"/>
        </w:rPr>
        <w:t>MUNICIPALITÉ DE SAINT-JEAN-BAPTISTE</w:t>
      </w:r>
    </w:p>
    <w:p w14:paraId="1A830311" w14:textId="4C6970E0" w:rsidR="006C285D" w:rsidRPr="006C39FE" w:rsidRDefault="00AA59DB" w:rsidP="00AA59DB">
      <w:pPr>
        <w:pStyle w:val="Retraitcorpsdetexte"/>
        <w:spacing w:line="360" w:lineRule="auto"/>
        <w:ind w:left="5648" w:hanging="5648"/>
        <w:jc w:val="both"/>
        <w:rPr>
          <w:rFonts w:cs="Arial"/>
          <w:szCs w:val="22"/>
        </w:rPr>
      </w:pPr>
      <w:r w:rsidRPr="006C39FE">
        <w:rPr>
          <w:rFonts w:cs="Arial"/>
          <w:szCs w:val="22"/>
        </w:rPr>
        <w:t xml:space="preserve">PROJET </w:t>
      </w:r>
      <w:r w:rsidR="006C285D" w:rsidRPr="006C39FE">
        <w:rPr>
          <w:rFonts w:cs="Arial"/>
          <w:szCs w:val="22"/>
        </w:rPr>
        <w:t xml:space="preserve">RÈGLEMENT </w:t>
      </w:r>
      <w:r w:rsidR="00B34E40" w:rsidRPr="006C39FE">
        <w:rPr>
          <w:rFonts w:cs="Arial"/>
          <w:szCs w:val="22"/>
        </w:rPr>
        <w:t>N</w:t>
      </w:r>
      <w:r w:rsidR="00F94102" w:rsidRPr="006C39FE">
        <w:rPr>
          <w:rFonts w:cs="Arial"/>
          <w:szCs w:val="22"/>
        </w:rPr>
        <w:t xml:space="preserve">UMÉRO </w:t>
      </w:r>
      <w:r w:rsidR="00DF718E">
        <w:rPr>
          <w:rFonts w:cs="Arial"/>
          <w:szCs w:val="22"/>
        </w:rPr>
        <w:t>995</w:t>
      </w:r>
      <w:r w:rsidR="00952993">
        <w:rPr>
          <w:rFonts w:cs="Arial"/>
          <w:szCs w:val="22"/>
        </w:rPr>
        <w:t>-2</w:t>
      </w:r>
      <w:r w:rsidR="00166B35">
        <w:rPr>
          <w:rFonts w:cs="Arial"/>
          <w:szCs w:val="22"/>
        </w:rPr>
        <w:t>5</w:t>
      </w:r>
      <w:r w:rsidRPr="006C39FE">
        <w:rPr>
          <w:rFonts w:cs="Arial"/>
          <w:szCs w:val="22"/>
        </w:rPr>
        <w:tab/>
      </w:r>
      <w:r w:rsidR="009F577D">
        <w:rPr>
          <w:rFonts w:cs="Arial"/>
          <w:szCs w:val="22"/>
        </w:rPr>
        <w:t xml:space="preserve">               </w:t>
      </w:r>
      <w:r w:rsidR="00CD1C7D" w:rsidRPr="006C39FE">
        <w:rPr>
          <w:rFonts w:cs="Arial"/>
          <w:szCs w:val="22"/>
        </w:rPr>
        <w:t xml:space="preserve">modifiant le </w:t>
      </w:r>
      <w:r w:rsidR="00CD1C7D" w:rsidRPr="006C39FE">
        <w:rPr>
          <w:rFonts w:cs="Arial"/>
          <w:i/>
          <w:iCs/>
          <w:szCs w:val="22"/>
        </w:rPr>
        <w:t>Règlement de zonage</w:t>
      </w:r>
      <w:r w:rsidR="00CD1C7D" w:rsidRPr="006C39FE">
        <w:rPr>
          <w:rFonts w:cs="Arial"/>
          <w:szCs w:val="22"/>
        </w:rPr>
        <w:t xml:space="preserve"> </w:t>
      </w:r>
      <w:r w:rsidR="00531F7B" w:rsidRPr="006C39FE">
        <w:rPr>
          <w:rFonts w:cs="Arial"/>
          <w:szCs w:val="22"/>
        </w:rPr>
        <w:t xml:space="preserve">no </w:t>
      </w:r>
      <w:r w:rsidR="00D04F6E" w:rsidRPr="006C39FE">
        <w:rPr>
          <w:rFonts w:cs="Arial"/>
          <w:szCs w:val="22"/>
        </w:rPr>
        <w:t>751-09</w:t>
      </w:r>
      <w:r w:rsidR="00531F7B" w:rsidRPr="006C39FE">
        <w:rPr>
          <w:rFonts w:cs="Arial"/>
          <w:szCs w:val="22"/>
        </w:rPr>
        <w:t xml:space="preserve"> </w:t>
      </w:r>
      <w:r w:rsidR="00815355" w:rsidRPr="006C39FE">
        <w:rPr>
          <w:rFonts w:cs="Arial"/>
          <w:szCs w:val="22"/>
        </w:rPr>
        <w:t xml:space="preserve">afin </w:t>
      </w:r>
      <w:r w:rsidR="00BC097F">
        <w:rPr>
          <w:rFonts w:cs="Arial"/>
          <w:szCs w:val="22"/>
        </w:rPr>
        <w:t>de modifier diverses dispositions</w:t>
      </w:r>
    </w:p>
    <w:p w14:paraId="2F195095" w14:textId="77777777" w:rsidR="006C285D" w:rsidRPr="006C39FE" w:rsidRDefault="006C285D" w:rsidP="009346BD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793540D0" w14:textId="77777777" w:rsidR="00273424" w:rsidRPr="006C39FE" w:rsidRDefault="00273424" w:rsidP="009346BD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6C39FE">
        <w:rPr>
          <w:rFonts w:cs="Arial"/>
          <w:szCs w:val="22"/>
        </w:rPr>
        <w:tab/>
        <w:t xml:space="preserve">ATTENDU QUE la Municipalité de Saint-Jean-Baptiste a le pouvoir, en vertu de la loi, de modifier son </w:t>
      </w:r>
      <w:r w:rsidR="00D50838" w:rsidRPr="006C39FE">
        <w:rPr>
          <w:rFonts w:cs="Arial"/>
          <w:i/>
          <w:iCs/>
          <w:szCs w:val="22"/>
        </w:rPr>
        <w:t>R</w:t>
      </w:r>
      <w:r w:rsidRPr="006C39FE">
        <w:rPr>
          <w:rFonts w:cs="Arial"/>
          <w:i/>
          <w:iCs/>
          <w:szCs w:val="22"/>
        </w:rPr>
        <w:t xml:space="preserve">èglement de </w:t>
      </w:r>
      <w:r w:rsidR="00D50838" w:rsidRPr="006C39FE">
        <w:rPr>
          <w:rFonts w:cs="Arial"/>
          <w:i/>
          <w:iCs/>
          <w:szCs w:val="22"/>
        </w:rPr>
        <w:t>zonage</w:t>
      </w:r>
      <w:r w:rsidRPr="006C39FE">
        <w:rPr>
          <w:rFonts w:cs="Arial"/>
          <w:szCs w:val="22"/>
        </w:rPr>
        <w:t>;</w:t>
      </w:r>
    </w:p>
    <w:p w14:paraId="000ABF98" w14:textId="77777777" w:rsidR="00EF33C7" w:rsidRPr="006C39FE" w:rsidRDefault="00EF33C7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3764EACF" w14:textId="3A320A8B" w:rsidR="00EF33C7" w:rsidRPr="006C39FE" w:rsidRDefault="00EF33C7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6C39FE">
        <w:rPr>
          <w:rFonts w:cs="Arial"/>
          <w:szCs w:val="22"/>
        </w:rPr>
        <w:tab/>
        <w:t>ATTENDU QUE la Municipalité désire modifier</w:t>
      </w:r>
      <w:r w:rsidR="00BB635A">
        <w:rPr>
          <w:rFonts w:cs="Arial"/>
          <w:szCs w:val="22"/>
        </w:rPr>
        <w:t xml:space="preserve"> le règlement afin d’augmenter les amendes </w:t>
      </w:r>
      <w:r w:rsidR="00494A72">
        <w:rPr>
          <w:rFonts w:cs="Arial"/>
          <w:szCs w:val="22"/>
        </w:rPr>
        <w:t>dans le cas d</w:t>
      </w:r>
      <w:r w:rsidR="00842D2C">
        <w:rPr>
          <w:rFonts w:cs="Arial"/>
          <w:szCs w:val="22"/>
        </w:rPr>
        <w:t>’un abattage d’arbre</w:t>
      </w:r>
      <w:r w:rsidR="00494A72">
        <w:rPr>
          <w:rFonts w:cs="Arial"/>
          <w:szCs w:val="22"/>
        </w:rPr>
        <w:t xml:space="preserve">, </w:t>
      </w:r>
      <w:r w:rsidR="00842D2C">
        <w:rPr>
          <w:rFonts w:cs="Arial"/>
          <w:szCs w:val="22"/>
        </w:rPr>
        <w:t xml:space="preserve">d’autoriser deux (2) </w:t>
      </w:r>
      <w:r w:rsidR="001475AE">
        <w:rPr>
          <w:rFonts w:cs="Arial"/>
          <w:szCs w:val="22"/>
        </w:rPr>
        <w:t xml:space="preserve">étages </w:t>
      </w:r>
      <w:r w:rsidR="00842D2C">
        <w:rPr>
          <w:rFonts w:cs="Arial"/>
          <w:szCs w:val="22"/>
        </w:rPr>
        <w:t xml:space="preserve">pour un </w:t>
      </w:r>
      <w:r w:rsidR="001526CA">
        <w:rPr>
          <w:rFonts w:cs="Arial"/>
          <w:szCs w:val="22"/>
        </w:rPr>
        <w:t>garage privé</w:t>
      </w:r>
      <w:r w:rsidR="00044C38">
        <w:rPr>
          <w:rFonts w:cs="Arial"/>
          <w:szCs w:val="22"/>
        </w:rPr>
        <w:t xml:space="preserve"> isolé</w:t>
      </w:r>
      <w:r w:rsidR="001526CA">
        <w:rPr>
          <w:rFonts w:cs="Arial"/>
          <w:szCs w:val="22"/>
        </w:rPr>
        <w:t xml:space="preserve">, </w:t>
      </w:r>
      <w:r w:rsidR="00842D2C">
        <w:rPr>
          <w:rFonts w:cs="Arial"/>
          <w:szCs w:val="22"/>
        </w:rPr>
        <w:t xml:space="preserve">de </w:t>
      </w:r>
      <w:r w:rsidR="00B14473">
        <w:rPr>
          <w:rFonts w:cs="Arial"/>
          <w:szCs w:val="22"/>
        </w:rPr>
        <w:t xml:space="preserve">prévoir des modalités dans le </w:t>
      </w:r>
      <w:r w:rsidR="00494A72">
        <w:rPr>
          <w:rFonts w:cs="Arial"/>
          <w:szCs w:val="22"/>
        </w:rPr>
        <w:t xml:space="preserve">cas d’un porte-à-faux, </w:t>
      </w:r>
      <w:r w:rsidR="00B14473">
        <w:rPr>
          <w:rFonts w:cs="Arial"/>
          <w:szCs w:val="22"/>
        </w:rPr>
        <w:t xml:space="preserve">d’autoriser les </w:t>
      </w:r>
      <w:r w:rsidR="00BB635A">
        <w:rPr>
          <w:rFonts w:cs="Arial"/>
          <w:szCs w:val="22"/>
        </w:rPr>
        <w:t>projets intégrés dans la zone R-12</w:t>
      </w:r>
      <w:r w:rsidR="0082380C">
        <w:rPr>
          <w:rFonts w:cs="Arial"/>
          <w:szCs w:val="22"/>
        </w:rPr>
        <w:t xml:space="preserve">, </w:t>
      </w:r>
      <w:r w:rsidR="009D4C8C">
        <w:rPr>
          <w:rFonts w:cs="Arial"/>
          <w:szCs w:val="22"/>
        </w:rPr>
        <w:t>d’</w:t>
      </w:r>
      <w:r w:rsidR="0082380C">
        <w:rPr>
          <w:rFonts w:cs="Arial"/>
          <w:szCs w:val="22"/>
        </w:rPr>
        <w:t>agrandir la zone I-3</w:t>
      </w:r>
      <w:r w:rsidR="00BB635A">
        <w:rPr>
          <w:rFonts w:cs="Arial"/>
          <w:szCs w:val="22"/>
        </w:rPr>
        <w:t xml:space="preserve"> et </w:t>
      </w:r>
      <w:r w:rsidR="00B14473">
        <w:rPr>
          <w:rFonts w:cs="Arial"/>
          <w:szCs w:val="22"/>
        </w:rPr>
        <w:t xml:space="preserve">revoir les </w:t>
      </w:r>
      <w:r w:rsidR="00BB635A">
        <w:rPr>
          <w:rFonts w:cs="Arial"/>
          <w:szCs w:val="22"/>
        </w:rPr>
        <w:t>conditions relatives aux kiosque</w:t>
      </w:r>
      <w:r w:rsidR="00B14473">
        <w:rPr>
          <w:rFonts w:cs="Arial"/>
          <w:szCs w:val="22"/>
        </w:rPr>
        <w:t>s</w:t>
      </w:r>
      <w:r w:rsidR="00BB635A">
        <w:rPr>
          <w:rFonts w:cs="Arial"/>
          <w:szCs w:val="22"/>
        </w:rPr>
        <w:t xml:space="preserve"> de vente de produits agricoles;</w:t>
      </w:r>
    </w:p>
    <w:p w14:paraId="13A167BD" w14:textId="77777777" w:rsidR="00B14473" w:rsidRDefault="00B14473" w:rsidP="00B14473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5D8CF29C" w14:textId="4F5A468B" w:rsidR="00B14473" w:rsidRDefault="00B14473" w:rsidP="00B14473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6C39FE">
        <w:rPr>
          <w:rFonts w:cs="Arial"/>
          <w:szCs w:val="22"/>
        </w:rPr>
        <w:tab/>
        <w:t>ATTENDU QU</w:t>
      </w:r>
      <w:r>
        <w:rPr>
          <w:rFonts w:cs="Arial"/>
          <w:szCs w:val="22"/>
        </w:rPr>
        <w:t>E le p</w:t>
      </w:r>
      <w:r w:rsidR="00BF50FA">
        <w:rPr>
          <w:rFonts w:cs="Arial"/>
          <w:szCs w:val="22"/>
        </w:rPr>
        <w:t>remier projet de règlement sera soumis à une assemblée publique de consultation conformément à la loi;</w:t>
      </w:r>
    </w:p>
    <w:p w14:paraId="02BB8788" w14:textId="77777777" w:rsidR="00BF50FA" w:rsidRDefault="00BF50FA" w:rsidP="00BF50F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3590D0B5" w14:textId="0AEBE222" w:rsidR="00273424" w:rsidRDefault="00BF50FA" w:rsidP="00BF50F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6C39FE">
        <w:rPr>
          <w:rFonts w:cs="Arial"/>
          <w:szCs w:val="22"/>
        </w:rPr>
        <w:tab/>
        <w:t>ATTENDU QU</w:t>
      </w:r>
      <w:r>
        <w:rPr>
          <w:rFonts w:cs="Arial"/>
          <w:szCs w:val="22"/>
        </w:rPr>
        <w:t>E le premier projet de règlement contient des dispositions susceptibles d’approbation référendaire;</w:t>
      </w:r>
    </w:p>
    <w:p w14:paraId="43FD46E8" w14:textId="77777777" w:rsidR="00BF50FA" w:rsidRPr="006C39FE" w:rsidRDefault="00BF50FA" w:rsidP="00BF50F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41250967" w14:textId="74828A27" w:rsidR="00F16B53" w:rsidRDefault="00B63D30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bookmarkStart w:id="0" w:name="_Hlk64443597"/>
      <w:r w:rsidRPr="006C39FE">
        <w:rPr>
          <w:rFonts w:cs="Arial"/>
          <w:szCs w:val="22"/>
        </w:rPr>
        <w:tab/>
      </w:r>
      <w:r w:rsidR="0098744B" w:rsidRPr="006C39FE">
        <w:rPr>
          <w:rFonts w:cs="Arial"/>
          <w:szCs w:val="22"/>
        </w:rPr>
        <w:t xml:space="preserve">ATTENDU QU’avis de motion </w:t>
      </w:r>
      <w:r w:rsidR="00F94102" w:rsidRPr="006C39FE">
        <w:rPr>
          <w:rFonts w:cs="Arial"/>
          <w:szCs w:val="22"/>
        </w:rPr>
        <w:t>a régulièrement été d</w:t>
      </w:r>
      <w:r w:rsidR="00CF55F1" w:rsidRPr="006C39FE">
        <w:rPr>
          <w:rFonts w:cs="Arial"/>
          <w:szCs w:val="22"/>
        </w:rPr>
        <w:t xml:space="preserve">onné </w:t>
      </w:r>
      <w:r w:rsidR="0098744B" w:rsidRPr="006C39FE">
        <w:rPr>
          <w:rFonts w:cs="Arial"/>
          <w:szCs w:val="22"/>
        </w:rPr>
        <w:t xml:space="preserve">lors de la séance ordinaire du conseil tenue le </w:t>
      </w:r>
      <w:r w:rsidR="00CA715A">
        <w:rPr>
          <w:rFonts w:cs="Arial"/>
          <w:szCs w:val="22"/>
        </w:rPr>
        <w:t>11 mars</w:t>
      </w:r>
      <w:r w:rsidR="00BC097F">
        <w:rPr>
          <w:rFonts w:cs="Arial"/>
          <w:szCs w:val="22"/>
        </w:rPr>
        <w:t xml:space="preserve"> 202</w:t>
      </w:r>
      <w:r w:rsidR="00D7444E">
        <w:rPr>
          <w:rFonts w:cs="Arial"/>
          <w:szCs w:val="22"/>
        </w:rPr>
        <w:t>5</w:t>
      </w:r>
      <w:r w:rsidR="00F16B53">
        <w:rPr>
          <w:rFonts w:cs="Arial"/>
          <w:szCs w:val="22"/>
        </w:rPr>
        <w:t>;</w:t>
      </w:r>
    </w:p>
    <w:p w14:paraId="23126055" w14:textId="77777777" w:rsidR="00F16B53" w:rsidRDefault="00F16B53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4354E8D3" w14:textId="72FBDA0B" w:rsidR="00F16B53" w:rsidRDefault="00F16B53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6C39FE">
        <w:rPr>
          <w:rFonts w:cs="Arial"/>
          <w:szCs w:val="22"/>
        </w:rPr>
        <w:tab/>
        <w:t>ATTENDU QU</w:t>
      </w:r>
      <w:r>
        <w:rPr>
          <w:rFonts w:cs="Arial"/>
          <w:szCs w:val="22"/>
        </w:rPr>
        <w:t>E le projet de règlement a été déposé</w:t>
      </w:r>
      <w:r w:rsidRPr="006C39FE">
        <w:rPr>
          <w:rFonts w:cs="Arial"/>
          <w:szCs w:val="22"/>
        </w:rPr>
        <w:t xml:space="preserve"> lors de la séance ordinaire du conseil tenue le </w:t>
      </w:r>
      <w:r w:rsidR="00CA715A">
        <w:rPr>
          <w:rFonts w:cs="Arial"/>
          <w:szCs w:val="22"/>
        </w:rPr>
        <w:t>11 mars</w:t>
      </w:r>
      <w:r>
        <w:rPr>
          <w:rFonts w:cs="Arial"/>
          <w:szCs w:val="22"/>
        </w:rPr>
        <w:t xml:space="preserve"> 202</w:t>
      </w:r>
      <w:r w:rsidR="00D7444E">
        <w:rPr>
          <w:rFonts w:cs="Arial"/>
          <w:szCs w:val="22"/>
        </w:rPr>
        <w:t>5</w:t>
      </w:r>
      <w:r>
        <w:rPr>
          <w:rFonts w:cs="Arial"/>
          <w:szCs w:val="22"/>
        </w:rPr>
        <w:t>;</w:t>
      </w:r>
    </w:p>
    <w:p w14:paraId="3AEF3D97" w14:textId="77777777" w:rsidR="00F16B53" w:rsidRDefault="00F16B53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bookmarkEnd w:id="0"/>
    <w:p w14:paraId="1C226CB2" w14:textId="77777777" w:rsidR="006C285D" w:rsidRPr="006C39FE" w:rsidRDefault="009222DA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6C39FE">
        <w:rPr>
          <w:rFonts w:cs="Arial"/>
          <w:szCs w:val="22"/>
        </w:rPr>
        <w:tab/>
        <w:t>EN CONSÉQUENCE, le Conseil décrète ce qui suit :</w:t>
      </w:r>
    </w:p>
    <w:p w14:paraId="1C4DD6EA" w14:textId="77777777" w:rsidR="00BF50FA" w:rsidRPr="006C39FE" w:rsidRDefault="00BF50FA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67CFC6D0" w14:textId="4B31DB90" w:rsidR="006C285D" w:rsidRPr="004C1809" w:rsidRDefault="006C285D" w:rsidP="004922A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>ARTICLE 1</w:t>
      </w:r>
    </w:p>
    <w:p w14:paraId="6EEE66B9" w14:textId="02490396" w:rsidR="00BF50FA" w:rsidRDefault="006C285D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>Le préambule du présent règlement en fait partie intégrante.</w:t>
      </w:r>
    </w:p>
    <w:p w14:paraId="20E0DC5F" w14:textId="77777777" w:rsidR="00D7444E" w:rsidRDefault="00D7444E" w:rsidP="00C7384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22E340CB" w14:textId="3C52E784" w:rsidR="00831354" w:rsidRPr="004C1809" w:rsidRDefault="00831354" w:rsidP="00831354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 w:rsidR="00086B66">
        <w:rPr>
          <w:rFonts w:cs="Arial"/>
          <w:szCs w:val="22"/>
        </w:rPr>
        <w:t>2</w:t>
      </w:r>
    </w:p>
    <w:p w14:paraId="03398211" w14:textId="6C97EDE8" w:rsidR="00831354" w:rsidRDefault="00831354" w:rsidP="00831354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L’article </w:t>
      </w:r>
      <w:r>
        <w:rPr>
          <w:rFonts w:cs="Arial"/>
          <w:szCs w:val="22"/>
        </w:rPr>
        <w:t xml:space="preserve">1.9 « Définitions » est modifié par l’insertion, après la définition de </w:t>
      </w:r>
      <w:r w:rsidR="00BD651B">
        <w:rPr>
          <w:rFonts w:cs="Arial"/>
          <w:szCs w:val="22"/>
        </w:rPr>
        <w:t>« PMAD » de la définition de « Porte-à-faux » qui se lit comme suit :</w:t>
      </w:r>
    </w:p>
    <w:p w14:paraId="52AE518D" w14:textId="6A1E2377" w:rsidR="00BD651B" w:rsidRDefault="00BD651B" w:rsidP="00BD651B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>« </w:t>
      </w:r>
      <w:r w:rsidRPr="00BD651B">
        <w:rPr>
          <w:rFonts w:cs="Arial"/>
          <w:b/>
          <w:bCs/>
          <w:szCs w:val="22"/>
          <w:u w:val="single"/>
        </w:rPr>
        <w:t>Porte-à-faux</w:t>
      </w:r>
    </w:p>
    <w:p w14:paraId="33E8B89B" w14:textId="57CAB31F" w:rsidR="00BD651B" w:rsidRDefault="00BD651B" w:rsidP="00BD651B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 w:rsidRPr="00BD651B">
        <w:rPr>
          <w:rFonts w:cs="Arial"/>
          <w:szCs w:val="22"/>
        </w:rPr>
        <w:t>Partie d'un bâtiment qui n'est pas directement soutenue par un appui au sol.</w:t>
      </w:r>
      <w:r>
        <w:rPr>
          <w:rFonts w:cs="Arial"/>
          <w:szCs w:val="22"/>
        </w:rPr>
        <w:t> »</w:t>
      </w:r>
    </w:p>
    <w:p w14:paraId="07B0C27E" w14:textId="77777777" w:rsidR="00D52371" w:rsidRDefault="00D52371" w:rsidP="00015466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046D53F8" w14:textId="3A208750" w:rsidR="00D52371" w:rsidRPr="004C1809" w:rsidRDefault="00350736" w:rsidP="00015466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 w:rsidR="00086B66">
        <w:rPr>
          <w:rFonts w:cs="Arial"/>
          <w:szCs w:val="22"/>
        </w:rPr>
        <w:t>3</w:t>
      </w:r>
    </w:p>
    <w:p w14:paraId="3A5D6C45" w14:textId="1A309EEE" w:rsidR="00210854" w:rsidRDefault="00645EF6" w:rsidP="00645EF6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L’article </w:t>
      </w:r>
      <w:r w:rsidR="00210854">
        <w:rPr>
          <w:rFonts w:cs="Arial"/>
          <w:szCs w:val="22"/>
        </w:rPr>
        <w:t>2.2 « Infraction et pénalité » est modifié par :</w:t>
      </w:r>
    </w:p>
    <w:p w14:paraId="57E00687" w14:textId="564DC6A2" w:rsidR="00645EF6" w:rsidRDefault="00210854" w:rsidP="00BF50FA">
      <w:pPr>
        <w:numPr>
          <w:ilvl w:val="0"/>
          <w:numId w:val="2"/>
        </w:numPr>
        <w:tabs>
          <w:tab w:val="left" w:pos="402"/>
          <w:tab w:val="left" w:pos="851"/>
          <w:tab w:val="left" w:pos="3110"/>
          <w:tab w:val="left" w:pos="3312"/>
          <w:tab w:val="left" w:pos="4680"/>
          <w:tab w:val="left" w:pos="5760"/>
        </w:tabs>
        <w:spacing w:line="360" w:lineRule="auto"/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Le remplacement du paragraphe 3) du deuxième alinéa par le suivant :</w:t>
      </w:r>
    </w:p>
    <w:p w14:paraId="7DB9CB40" w14:textId="36378878" w:rsidR="00210854" w:rsidRDefault="00210854" w:rsidP="00BF50FA">
      <w:pPr>
        <w:pStyle w:val="Alina"/>
        <w:spacing w:line="360" w:lineRule="auto"/>
        <w:ind w:left="792"/>
        <w:rPr>
          <w:sz w:val="22"/>
          <w:szCs w:val="22"/>
        </w:rPr>
      </w:pPr>
      <w:r w:rsidRPr="00210854">
        <w:rPr>
          <w:sz w:val="22"/>
          <w:szCs w:val="22"/>
        </w:rPr>
        <w:t>« </w:t>
      </w:r>
      <w:r>
        <w:rPr>
          <w:sz w:val="22"/>
          <w:szCs w:val="22"/>
        </w:rPr>
        <w:t xml:space="preserve">3) </w:t>
      </w:r>
      <w:r w:rsidR="00F4525C">
        <w:rPr>
          <w:sz w:val="22"/>
          <w:szCs w:val="22"/>
        </w:rPr>
        <w:t>En</w:t>
      </w:r>
      <w:r w:rsidRPr="00210854">
        <w:rPr>
          <w:sz w:val="22"/>
          <w:szCs w:val="22"/>
        </w:rPr>
        <w:t xml:space="preserve"> vertu des dispositions de l’article 233.1 de </w:t>
      </w:r>
      <w:r w:rsidRPr="00210854">
        <w:rPr>
          <w:i/>
          <w:iCs/>
          <w:sz w:val="22"/>
          <w:szCs w:val="22"/>
        </w:rPr>
        <w:t>la Loi sur l’aménagement et l’urbanisme</w:t>
      </w:r>
      <w:r w:rsidRPr="00210854">
        <w:rPr>
          <w:sz w:val="22"/>
          <w:szCs w:val="22"/>
        </w:rPr>
        <w:t xml:space="preserve"> (RLRQ, c. A-19.1), l’abattage d’arbre fait en contravention d’une disposition réglementaire adoptée en vertu du paragraphe 12° du deuxième alinéa de l’article 113 de cette loi est sanctionné par une amende d’un montant minimal de 500 $ auquel s’ajoute :</w:t>
      </w:r>
    </w:p>
    <w:p w14:paraId="739E937C" w14:textId="77777777" w:rsidR="00210854" w:rsidRDefault="00210854" w:rsidP="00BF50FA">
      <w:pPr>
        <w:pStyle w:val="Alina"/>
        <w:numPr>
          <w:ilvl w:val="0"/>
          <w:numId w:val="4"/>
        </w:numPr>
        <w:spacing w:line="360" w:lineRule="auto"/>
        <w:ind w:left="1512"/>
        <w:rPr>
          <w:sz w:val="22"/>
          <w:szCs w:val="22"/>
        </w:rPr>
      </w:pPr>
      <w:r w:rsidRPr="00210854">
        <w:rPr>
          <w:sz w:val="22"/>
          <w:szCs w:val="22"/>
        </w:rPr>
        <w:lastRenderedPageBreak/>
        <w:t>Dans le cas d’un abattage sur une superficie inférieure à un hectare, un montant minimal de 500 $ et maximal de 1 000 $ par arbre abattu illégalement, jusqu’à concurrence de 15 000 $ ;</w:t>
      </w:r>
    </w:p>
    <w:p w14:paraId="16A5630E" w14:textId="60C6FB39" w:rsidR="00210854" w:rsidRDefault="00210854" w:rsidP="00BF50FA">
      <w:pPr>
        <w:pStyle w:val="Alina"/>
        <w:numPr>
          <w:ilvl w:val="0"/>
          <w:numId w:val="4"/>
        </w:numPr>
        <w:spacing w:line="360" w:lineRule="auto"/>
        <w:ind w:left="1512"/>
        <w:rPr>
          <w:sz w:val="22"/>
          <w:szCs w:val="22"/>
        </w:rPr>
      </w:pPr>
      <w:r w:rsidRPr="00210854">
        <w:rPr>
          <w:sz w:val="22"/>
          <w:szCs w:val="22"/>
        </w:rPr>
        <w:t xml:space="preserve">Dans le cas d’un abattage sur une superficie d’un hectare ou plus, une amende d’un montant minimal de 15 000 $ et maximal de 100 000 $ par hectare complet déboisé auquel s’ajoute, pour chaque fraction d’hectare déboisée, un montant déterminé conformément au </w:t>
      </w:r>
      <w:r w:rsidR="00F4525C">
        <w:rPr>
          <w:sz w:val="22"/>
          <w:szCs w:val="22"/>
        </w:rPr>
        <w:t>sous-</w:t>
      </w:r>
      <w:r w:rsidRPr="00210854">
        <w:rPr>
          <w:sz w:val="22"/>
          <w:szCs w:val="22"/>
        </w:rPr>
        <w:t xml:space="preserve">paragraphe </w:t>
      </w:r>
      <w:r w:rsidR="00F4525C">
        <w:rPr>
          <w:sz w:val="22"/>
          <w:szCs w:val="22"/>
        </w:rPr>
        <w:t>a)</w:t>
      </w:r>
      <w:r w:rsidRPr="00210854">
        <w:rPr>
          <w:sz w:val="22"/>
          <w:szCs w:val="22"/>
        </w:rPr>
        <w:t>.</w:t>
      </w:r>
      <w:r w:rsidR="00F4525C">
        <w:rPr>
          <w:sz w:val="22"/>
          <w:szCs w:val="22"/>
        </w:rPr>
        <w:t> »</w:t>
      </w:r>
    </w:p>
    <w:p w14:paraId="5F40F47B" w14:textId="6B82D5D8" w:rsidR="00F4525C" w:rsidRDefault="00F4525C" w:rsidP="00BF50FA">
      <w:pPr>
        <w:numPr>
          <w:ilvl w:val="0"/>
          <w:numId w:val="2"/>
        </w:num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756"/>
        <w:jc w:val="both"/>
        <w:rPr>
          <w:rFonts w:cs="Arial"/>
          <w:szCs w:val="22"/>
        </w:rPr>
      </w:pPr>
      <w:r>
        <w:rPr>
          <w:rFonts w:cs="Arial"/>
          <w:szCs w:val="22"/>
        </w:rPr>
        <w:t>La renumérotation du paragraphe 4) par le paragraphe 5);</w:t>
      </w:r>
    </w:p>
    <w:p w14:paraId="7417B79C" w14:textId="77777777" w:rsidR="00BF50FA" w:rsidRDefault="00BF50FA" w:rsidP="00BF50F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756"/>
        <w:jc w:val="both"/>
        <w:rPr>
          <w:rFonts w:cs="Arial"/>
          <w:szCs w:val="22"/>
        </w:rPr>
      </w:pPr>
    </w:p>
    <w:p w14:paraId="22DAB7DF" w14:textId="769959D2" w:rsidR="00F4525C" w:rsidRDefault="00F4525C" w:rsidP="00BF50FA">
      <w:pPr>
        <w:numPr>
          <w:ilvl w:val="0"/>
          <w:numId w:val="2"/>
        </w:num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756"/>
        <w:jc w:val="both"/>
        <w:rPr>
          <w:rFonts w:cs="Arial"/>
          <w:szCs w:val="22"/>
        </w:rPr>
      </w:pPr>
      <w:r>
        <w:rPr>
          <w:rFonts w:cs="Arial"/>
          <w:szCs w:val="22"/>
        </w:rPr>
        <w:t>L’insertion du nouveau paragraphe 4) qui se lit comme suit :</w:t>
      </w:r>
    </w:p>
    <w:p w14:paraId="634A5B41" w14:textId="7C34627F" w:rsidR="00210854" w:rsidRPr="00210854" w:rsidRDefault="00F4525C" w:rsidP="00BF50FA">
      <w:pPr>
        <w:pStyle w:val="Alina"/>
        <w:spacing w:line="360" w:lineRule="auto"/>
        <w:ind w:left="792"/>
        <w:rPr>
          <w:sz w:val="22"/>
          <w:szCs w:val="22"/>
        </w:rPr>
      </w:pPr>
      <w:r>
        <w:rPr>
          <w:sz w:val="22"/>
          <w:szCs w:val="22"/>
        </w:rPr>
        <w:t xml:space="preserve">« 4) </w:t>
      </w:r>
      <w:r w:rsidR="00210854" w:rsidRPr="00210854">
        <w:rPr>
          <w:sz w:val="22"/>
          <w:szCs w:val="22"/>
        </w:rPr>
        <w:t xml:space="preserve">En vertu des dispositions de l’article 233.1.0.1 de </w:t>
      </w:r>
      <w:r w:rsidR="00210854" w:rsidRPr="00210854">
        <w:rPr>
          <w:i/>
          <w:iCs/>
          <w:sz w:val="22"/>
          <w:szCs w:val="22"/>
        </w:rPr>
        <w:t>la Loi sur l’aménagement et l’urbanisme</w:t>
      </w:r>
      <w:r w:rsidR="00210854" w:rsidRPr="00210854">
        <w:rPr>
          <w:sz w:val="22"/>
          <w:szCs w:val="22"/>
        </w:rPr>
        <w:t xml:space="preserve"> (RLRQ, c. A-19.1), l’abattage d’arbre fait en contravention d’une disposition réglementaire adoptée en vertu du paragraphe 12.1° du deuxième alinéa de l’article 113 de cette loi est sanctionné par une amende d’un montant minimal de 500 $ auquel s’ajoute :</w:t>
      </w:r>
    </w:p>
    <w:p w14:paraId="369BA8ED" w14:textId="77777777" w:rsidR="00210854" w:rsidRPr="00210854" w:rsidRDefault="00210854" w:rsidP="00BF50FA">
      <w:pPr>
        <w:pStyle w:val="Alina"/>
        <w:numPr>
          <w:ilvl w:val="0"/>
          <w:numId w:val="5"/>
        </w:numPr>
        <w:spacing w:line="360" w:lineRule="auto"/>
        <w:ind w:left="1462"/>
        <w:rPr>
          <w:sz w:val="22"/>
          <w:szCs w:val="22"/>
        </w:rPr>
      </w:pPr>
      <w:r w:rsidRPr="00210854">
        <w:rPr>
          <w:sz w:val="22"/>
          <w:szCs w:val="22"/>
        </w:rPr>
        <w:t>Dans le cas d’un abattage sur une superficie égale ou inférieure à 1 000 m</w:t>
      </w:r>
      <w:r w:rsidRPr="00210854">
        <w:rPr>
          <w:sz w:val="22"/>
          <w:szCs w:val="22"/>
          <w:vertAlign w:val="superscript"/>
        </w:rPr>
        <w:t>2</w:t>
      </w:r>
      <w:r w:rsidRPr="00210854">
        <w:rPr>
          <w:sz w:val="22"/>
          <w:szCs w:val="22"/>
        </w:rPr>
        <w:t>, un montant minimal de 100 $ et maximal de 2 500 $ ;</w:t>
      </w:r>
    </w:p>
    <w:p w14:paraId="0CAC5D8C" w14:textId="7EF214BD" w:rsidR="00210854" w:rsidRPr="00210854" w:rsidRDefault="00210854" w:rsidP="00BF50FA">
      <w:pPr>
        <w:pStyle w:val="Alina"/>
        <w:numPr>
          <w:ilvl w:val="0"/>
          <w:numId w:val="5"/>
        </w:numPr>
        <w:spacing w:line="360" w:lineRule="auto"/>
        <w:ind w:left="1462"/>
        <w:rPr>
          <w:sz w:val="22"/>
          <w:szCs w:val="22"/>
        </w:rPr>
      </w:pPr>
      <w:r w:rsidRPr="00210854">
        <w:rPr>
          <w:sz w:val="22"/>
          <w:szCs w:val="22"/>
        </w:rPr>
        <w:t>Dans le cas d’un abattage sur une superficie supérieure à 1 000 m</w:t>
      </w:r>
      <w:r w:rsidRPr="00210854">
        <w:rPr>
          <w:sz w:val="22"/>
          <w:szCs w:val="22"/>
          <w:vertAlign w:val="superscript"/>
        </w:rPr>
        <w:t>2</w:t>
      </w:r>
      <w:r w:rsidRPr="00210854">
        <w:rPr>
          <w:sz w:val="22"/>
          <w:szCs w:val="22"/>
        </w:rPr>
        <w:t>, un montant minimal de 5 000 $ et maximal de 15 000 $ par hectare complet déboisé ou, proportionnellement, par fraction d’hectare; lorsqu’au moins la moitié du couvert forestier a été abattu, le montant maximal est porté à 30 000 $.</w:t>
      </w:r>
      <w:r w:rsidR="00F4525C">
        <w:rPr>
          <w:sz w:val="22"/>
          <w:szCs w:val="22"/>
        </w:rPr>
        <w:t> »</w:t>
      </w:r>
    </w:p>
    <w:p w14:paraId="0DEF02AE" w14:textId="77777777" w:rsidR="00BF50FA" w:rsidRDefault="00BF50FA" w:rsidP="00BF50F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756"/>
        <w:jc w:val="both"/>
        <w:rPr>
          <w:rFonts w:cs="Arial"/>
          <w:szCs w:val="22"/>
        </w:rPr>
      </w:pPr>
    </w:p>
    <w:p w14:paraId="509915FF" w14:textId="4CEBD248" w:rsidR="00210854" w:rsidRDefault="00210854" w:rsidP="00BF50FA">
      <w:pPr>
        <w:numPr>
          <w:ilvl w:val="0"/>
          <w:numId w:val="2"/>
        </w:num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756"/>
        <w:jc w:val="both"/>
        <w:rPr>
          <w:rFonts w:cs="Arial"/>
          <w:szCs w:val="22"/>
        </w:rPr>
      </w:pPr>
      <w:r>
        <w:rPr>
          <w:rFonts w:cs="Arial"/>
          <w:szCs w:val="22"/>
        </w:rPr>
        <w:t>L’insertion, après le troisième alinéa, de l’alinéa suivant :</w:t>
      </w:r>
    </w:p>
    <w:p w14:paraId="7C50D696" w14:textId="1D65062B" w:rsidR="00210854" w:rsidRDefault="00210854" w:rsidP="00BF50F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756"/>
        <w:jc w:val="both"/>
        <w:rPr>
          <w:rFonts w:cs="Arial"/>
          <w:szCs w:val="22"/>
        </w:rPr>
      </w:pPr>
      <w:r>
        <w:rPr>
          <w:rFonts w:cs="Arial"/>
          <w:szCs w:val="22"/>
        </w:rPr>
        <w:t>« Les montants prévus au présent article sont doublés en cas de récidive. »</w:t>
      </w:r>
    </w:p>
    <w:p w14:paraId="486757DD" w14:textId="77777777" w:rsidR="00645EF6" w:rsidRDefault="00645EF6" w:rsidP="00645EF6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0831A54C" w14:textId="02E36FF5" w:rsidR="00541692" w:rsidRPr="004C1809" w:rsidRDefault="00541692" w:rsidP="00541692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 w:rsidR="00086B66">
        <w:rPr>
          <w:rFonts w:cs="Arial"/>
          <w:szCs w:val="22"/>
        </w:rPr>
        <w:t>4</w:t>
      </w:r>
    </w:p>
    <w:p w14:paraId="739F08E8" w14:textId="4E5824A8" w:rsidR="00541692" w:rsidRDefault="00541692" w:rsidP="00541692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La section 2 « Dispositions générales relatives à l’implantation » </w:t>
      </w:r>
      <w:r w:rsidR="00B91BE4">
        <w:rPr>
          <w:rFonts w:cs="Arial"/>
          <w:szCs w:val="22"/>
        </w:rPr>
        <w:t>du chapitre 5 est modifié par l’insertion de l’article 5.4.1 qui se lit comme suit :</w:t>
      </w:r>
    </w:p>
    <w:p w14:paraId="116079F2" w14:textId="77777777" w:rsidR="00D85646" w:rsidRDefault="00D85646" w:rsidP="00D85646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36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</w:rPr>
        <w:t>« </w:t>
      </w:r>
      <w:r w:rsidRPr="00CB7EF0">
        <w:rPr>
          <w:rFonts w:cs="Arial"/>
          <w:b/>
          <w:bCs/>
          <w:szCs w:val="22"/>
        </w:rPr>
        <w:t>5.</w:t>
      </w:r>
      <w:r>
        <w:rPr>
          <w:rFonts w:cs="Arial"/>
          <w:b/>
          <w:bCs/>
          <w:szCs w:val="22"/>
        </w:rPr>
        <w:t>4.1</w:t>
      </w:r>
      <w:r w:rsidRPr="00CB7EF0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Porte-à-faux</w:t>
      </w:r>
    </w:p>
    <w:p w14:paraId="319DDB10" w14:textId="2433FECC" w:rsidR="005D5554" w:rsidRDefault="00D85646" w:rsidP="005A1D72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La partie du bâtiment en porte-à-faux peut, malgré les marges de recul prescrites, empiéter sur une profondeur maximale de </w:t>
      </w:r>
      <w:r w:rsidR="00E24FB6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mètres dans la marge</w:t>
      </w:r>
      <w:r w:rsidR="005D5554">
        <w:rPr>
          <w:rFonts w:cs="Arial"/>
          <w:szCs w:val="22"/>
        </w:rPr>
        <w:t>, sans excéder 50% de la profondeur de la mar</w:t>
      </w:r>
      <w:r w:rsidR="00914FD3">
        <w:rPr>
          <w:rFonts w:cs="Arial"/>
          <w:szCs w:val="22"/>
        </w:rPr>
        <w:t xml:space="preserve">ge. </w:t>
      </w:r>
      <w:r w:rsidR="005D5554">
        <w:rPr>
          <w:rFonts w:cs="Arial"/>
          <w:szCs w:val="22"/>
        </w:rPr>
        <w:t>»</w:t>
      </w:r>
    </w:p>
    <w:p w14:paraId="33F97BA6" w14:textId="77777777" w:rsidR="005A1D72" w:rsidRDefault="005A1D72" w:rsidP="005A1D72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360"/>
        <w:jc w:val="both"/>
        <w:rPr>
          <w:rFonts w:cs="Arial"/>
          <w:szCs w:val="22"/>
        </w:rPr>
      </w:pPr>
    </w:p>
    <w:p w14:paraId="7C305DA1" w14:textId="798B66FD" w:rsidR="00AE668E" w:rsidRPr="004C1809" w:rsidRDefault="00AE668E" w:rsidP="00AE668E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>
        <w:rPr>
          <w:rFonts w:cs="Arial"/>
          <w:szCs w:val="22"/>
        </w:rPr>
        <w:t>5</w:t>
      </w:r>
    </w:p>
    <w:p w14:paraId="6684EB7D" w14:textId="3B059201" w:rsidR="00AE668E" w:rsidRDefault="00AE668E" w:rsidP="00AE668E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L’article 6.3.1 « Aménagement paysager » est modifié par l’</w:t>
      </w:r>
      <w:r w:rsidR="00A42AF2">
        <w:rPr>
          <w:rFonts w:cs="Arial"/>
          <w:szCs w:val="22"/>
        </w:rPr>
        <w:t>ajout de la phrase suivante à la fin du premier alinéa :</w:t>
      </w:r>
    </w:p>
    <w:p w14:paraId="753D99D7" w14:textId="2EB80870" w:rsidR="00D52371" w:rsidRDefault="00A42AF2" w:rsidP="005A1D72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« Dans le cas d’un autre usage que résidentiel</w:t>
      </w:r>
      <w:r w:rsidR="00BA6659">
        <w:rPr>
          <w:rFonts w:cs="Arial"/>
          <w:szCs w:val="22"/>
        </w:rPr>
        <w:t>, un minimum de 10% de la superficie du terrain doit être aménagé conformément au présent article. »</w:t>
      </w:r>
    </w:p>
    <w:p w14:paraId="3449F51F" w14:textId="77777777" w:rsidR="00D52371" w:rsidRDefault="00D52371" w:rsidP="005A1D72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360"/>
        <w:jc w:val="both"/>
        <w:rPr>
          <w:rFonts w:cs="Arial"/>
          <w:szCs w:val="22"/>
        </w:rPr>
      </w:pPr>
    </w:p>
    <w:p w14:paraId="03E8366D" w14:textId="4B37F141" w:rsidR="00F4525C" w:rsidRPr="004C1809" w:rsidRDefault="00F4525C" w:rsidP="00F4525C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 w:rsidR="00D52371">
        <w:rPr>
          <w:rFonts w:cs="Arial"/>
          <w:szCs w:val="22"/>
        </w:rPr>
        <w:t>6</w:t>
      </w:r>
    </w:p>
    <w:p w14:paraId="7E7CA858" w14:textId="39452AEC" w:rsidR="00F4525C" w:rsidRDefault="00F4525C" w:rsidP="00F4525C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L’article 7.10 « Hauteur » est modifié, au paragraphe b), par l’ajout de ce qui suit :</w:t>
      </w:r>
    </w:p>
    <w:p w14:paraId="3EB58D31" w14:textId="77777777" w:rsidR="00D52371" w:rsidRDefault="00F4525C" w:rsidP="00D5237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>« Malgré ce qui précède, la hauteur maximale d’un garage privé est de 2 étages</w:t>
      </w:r>
      <w:r w:rsidR="007B6076">
        <w:rPr>
          <w:rFonts w:cs="Arial"/>
          <w:szCs w:val="22"/>
        </w:rPr>
        <w:t xml:space="preserve"> (</w:t>
      </w:r>
      <w:r w:rsidR="00826079">
        <w:rPr>
          <w:rFonts w:cs="Arial"/>
          <w:szCs w:val="22"/>
        </w:rPr>
        <w:t>le second étage ne peut être utilisé que pour les fins du garage).</w:t>
      </w:r>
      <w:r w:rsidR="001D36B1">
        <w:rPr>
          <w:rFonts w:cs="Arial"/>
          <w:szCs w:val="22"/>
        </w:rPr>
        <w:t> »</w:t>
      </w:r>
    </w:p>
    <w:p w14:paraId="2F959CC2" w14:textId="77777777" w:rsidR="00C54A52" w:rsidRDefault="00C54A52" w:rsidP="00D5237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</w:p>
    <w:p w14:paraId="7CC67A62" w14:textId="77777777" w:rsidR="00902D6D" w:rsidRDefault="00902D6D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7123E59" w14:textId="564A55B2" w:rsidR="001D36B1" w:rsidRDefault="001D36B1" w:rsidP="00D5237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lastRenderedPageBreak/>
        <w:t xml:space="preserve">ARTICLE </w:t>
      </w:r>
      <w:r w:rsidR="00D52371">
        <w:rPr>
          <w:rFonts w:cs="Arial"/>
          <w:szCs w:val="22"/>
        </w:rPr>
        <w:t>7</w:t>
      </w:r>
    </w:p>
    <w:p w14:paraId="54CB4CC9" w14:textId="77777777" w:rsidR="00C54A52" w:rsidRPr="00C54A52" w:rsidRDefault="00C54A52" w:rsidP="00C54A52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C54A52">
        <w:rPr>
          <w:rFonts w:cs="Arial"/>
          <w:szCs w:val="22"/>
        </w:rPr>
        <w:t>L’article 7.15 « Bâtiment temporaire » est modifié par l’ajout de l’alinéa suivant :</w:t>
      </w:r>
    </w:p>
    <w:p w14:paraId="06C3EAC1" w14:textId="17AD509D" w:rsidR="00C54A52" w:rsidRDefault="00C54A52" w:rsidP="00C358B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26"/>
        <w:jc w:val="both"/>
        <w:rPr>
          <w:rFonts w:cs="Arial"/>
          <w:szCs w:val="22"/>
        </w:rPr>
      </w:pPr>
      <w:r w:rsidRPr="00C54A52">
        <w:rPr>
          <w:rFonts w:cs="Arial"/>
          <w:szCs w:val="22"/>
        </w:rPr>
        <w:t>« Malgré les dispositions précédentes, la municipalité peut installer un bâtiment temporaire lorsqu’il est requis à des fins de sécurité ou d’intérêt public. »</w:t>
      </w:r>
    </w:p>
    <w:p w14:paraId="1287FB16" w14:textId="77777777" w:rsidR="00C358BA" w:rsidRDefault="00C358BA" w:rsidP="00C358BA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26"/>
        <w:jc w:val="both"/>
        <w:rPr>
          <w:rFonts w:cs="Arial"/>
          <w:szCs w:val="22"/>
        </w:rPr>
      </w:pPr>
    </w:p>
    <w:p w14:paraId="6CA01B3C" w14:textId="674709DD" w:rsidR="00C54A52" w:rsidRPr="004C1809" w:rsidRDefault="00C54A52" w:rsidP="00D5237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>
        <w:rPr>
          <w:rFonts w:cs="Arial"/>
          <w:szCs w:val="22"/>
        </w:rPr>
        <w:t>8</w:t>
      </w:r>
    </w:p>
    <w:p w14:paraId="0A5176E1" w14:textId="57F6BF01" w:rsidR="001D36B1" w:rsidRDefault="001D36B1" w:rsidP="001D36B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L’article 7.16 « Kiosques de vente de produits de la ferme » </w:t>
      </w:r>
      <w:r w:rsidR="00CA1B06">
        <w:rPr>
          <w:rFonts w:cs="Arial"/>
          <w:szCs w:val="22"/>
        </w:rPr>
        <w:t>est</w:t>
      </w:r>
      <w:r w:rsidR="00AE3194">
        <w:rPr>
          <w:rFonts w:cs="Arial"/>
          <w:szCs w:val="22"/>
        </w:rPr>
        <w:t xml:space="preserve"> modifié par le remplacement des conditions par les suivantes :</w:t>
      </w:r>
    </w:p>
    <w:p w14:paraId="48314F52" w14:textId="40A56B8C" w:rsidR="00381910" w:rsidRDefault="00381910" w:rsidP="00381910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>« 1. La vente doit être effectuée par un producteur sur sa ferme;</w:t>
      </w:r>
    </w:p>
    <w:p w14:paraId="3031A993" w14:textId="0D715EEA" w:rsidR="00381910" w:rsidRDefault="00381910" w:rsidP="00381910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2. </w:t>
      </w:r>
      <w:r w:rsidR="000C72BE">
        <w:rPr>
          <w:rFonts w:cs="Arial"/>
          <w:szCs w:val="22"/>
        </w:rPr>
        <w:t>Au moins 25% des produits offerts en vente au kiosque proviennent de la ferme du producteur;</w:t>
      </w:r>
    </w:p>
    <w:p w14:paraId="739E985D" w14:textId="59FF5452" w:rsidR="000C72BE" w:rsidRDefault="000C72BE" w:rsidP="00381910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>3. Les autres produits offerts en vente proviennent de producteurs québécois dont le lieu principal de production se situe dans la même région administrative ou à moins de 150 km du kiosque;</w:t>
      </w:r>
    </w:p>
    <w:p w14:paraId="40F4C926" w14:textId="1D5E013C" w:rsidR="00C06492" w:rsidRDefault="00C06492" w:rsidP="00381910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>4. Un (1) kiosque est autorisé par terrain;</w:t>
      </w:r>
    </w:p>
    <w:p w14:paraId="62AA187B" w14:textId="013E60F5" w:rsidR="00C06492" w:rsidRDefault="00C06492" w:rsidP="00381910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5. Le kiosque doit </w:t>
      </w:r>
      <w:r w:rsidR="000A03F5">
        <w:rPr>
          <w:rFonts w:cs="Arial"/>
          <w:szCs w:val="22"/>
        </w:rPr>
        <w:t>être situé à une distance minimale de 4 m de l’emprise de la rue;</w:t>
      </w:r>
    </w:p>
    <w:p w14:paraId="78EFFF1F" w14:textId="114E867B" w:rsidR="000A03F5" w:rsidRDefault="000A03F5" w:rsidP="00DF718E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6. L’affichage </w:t>
      </w:r>
      <w:r w:rsidR="004768FD">
        <w:rPr>
          <w:rFonts w:cs="Arial"/>
          <w:szCs w:val="22"/>
        </w:rPr>
        <w:t>doit respecter les dispositions établies pour la zone.»</w:t>
      </w:r>
    </w:p>
    <w:p w14:paraId="25A2C345" w14:textId="77777777" w:rsidR="001D36B1" w:rsidRDefault="001D36B1" w:rsidP="001D36B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23E65276" w14:textId="0EBD5241" w:rsidR="00BA6659" w:rsidRPr="004C1809" w:rsidRDefault="00BA6659" w:rsidP="00BA665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 w:rsidR="00C54A52">
        <w:rPr>
          <w:rFonts w:cs="Arial"/>
          <w:szCs w:val="22"/>
        </w:rPr>
        <w:t>9</w:t>
      </w:r>
    </w:p>
    <w:p w14:paraId="55F63AE1" w14:textId="5F54DECE" w:rsidR="00BA6659" w:rsidRDefault="00BA6659" w:rsidP="00BA6659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L’article 9.1 « </w:t>
      </w:r>
      <w:r w:rsidR="00DF5512">
        <w:rPr>
          <w:rFonts w:cs="Arial"/>
          <w:szCs w:val="22"/>
        </w:rPr>
        <w:t xml:space="preserve">Dispositions générales » est modifié </w:t>
      </w:r>
      <w:r w:rsidR="00541677">
        <w:rPr>
          <w:rFonts w:cs="Arial"/>
          <w:szCs w:val="22"/>
        </w:rPr>
        <w:t xml:space="preserve">par le remplacement du </w:t>
      </w:r>
      <w:r w:rsidR="00DF5512">
        <w:rPr>
          <w:rFonts w:cs="Arial"/>
          <w:szCs w:val="22"/>
        </w:rPr>
        <w:t>sous-paragraphe 1 h) du deuxième alinéa</w:t>
      </w:r>
      <w:r w:rsidR="00541677">
        <w:rPr>
          <w:rFonts w:cs="Arial"/>
          <w:szCs w:val="22"/>
        </w:rPr>
        <w:t xml:space="preserve"> par le suivant :</w:t>
      </w:r>
    </w:p>
    <w:p w14:paraId="1E47DD56" w14:textId="7B31368E" w:rsidR="00541677" w:rsidRDefault="00541677" w:rsidP="00541677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ind w:left="402"/>
        <w:jc w:val="both"/>
        <w:rPr>
          <w:rFonts w:cs="Arial"/>
          <w:szCs w:val="22"/>
        </w:rPr>
      </w:pPr>
      <w:r>
        <w:rPr>
          <w:rFonts w:cs="Arial"/>
          <w:szCs w:val="22"/>
        </w:rPr>
        <w:t>« h) L’aire de stationnement, incluant les cases de stationnement et les allées de circulation, doivent être localisées à une distance minimale de 1 m de toute</w:t>
      </w:r>
      <w:r w:rsidR="00214AEE">
        <w:rPr>
          <w:rFonts w:cs="Arial"/>
          <w:szCs w:val="22"/>
        </w:rPr>
        <w:t xml:space="preserve"> ligne de lot, excluant la ligne où s’effectue l’accès au terrain, </w:t>
      </w:r>
      <w:r w:rsidR="0004084C">
        <w:rPr>
          <w:rFonts w:cs="Arial"/>
          <w:szCs w:val="22"/>
        </w:rPr>
        <w:t xml:space="preserve">ainsi que de tout bâtiment. L’espace entre l’aire de stationnement et la ligne de lot doit </w:t>
      </w:r>
      <w:r w:rsidR="001F0B61">
        <w:rPr>
          <w:rFonts w:cs="Arial"/>
          <w:szCs w:val="22"/>
        </w:rPr>
        <w:t>faire l’objet être gazonné ou faire l’objet d’un aménagement paysagé. »</w:t>
      </w:r>
    </w:p>
    <w:p w14:paraId="14281612" w14:textId="77777777" w:rsidR="00BA6659" w:rsidRDefault="00BA6659" w:rsidP="001D36B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3FA28590" w14:textId="4C727C04" w:rsidR="00C73849" w:rsidRPr="004C1809" w:rsidRDefault="00350736" w:rsidP="001D36B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 w:rsidR="00C54A52">
        <w:rPr>
          <w:rFonts w:cs="Arial"/>
          <w:szCs w:val="22"/>
        </w:rPr>
        <w:t>10</w:t>
      </w:r>
    </w:p>
    <w:p w14:paraId="1D45313A" w14:textId="62B7F349" w:rsidR="00BF50FA" w:rsidRDefault="00F4525C" w:rsidP="00D5237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L’article 16.28 « Généralité » est modifié, au troisième alinéa, par l’insertion des mots « R-12 » après les mots « R-6 ».</w:t>
      </w:r>
    </w:p>
    <w:p w14:paraId="2A8D096B" w14:textId="77777777" w:rsidR="008231E7" w:rsidRDefault="008231E7" w:rsidP="00D5237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053B88F2" w14:textId="70B55849" w:rsidR="008231E7" w:rsidRPr="004C1809" w:rsidRDefault="008231E7" w:rsidP="008231E7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 xml:space="preserve">ARTICLE </w:t>
      </w:r>
      <w:r w:rsidR="00BA6659">
        <w:rPr>
          <w:rFonts w:cs="Arial"/>
          <w:szCs w:val="22"/>
        </w:rPr>
        <w:t>1</w:t>
      </w:r>
      <w:r w:rsidR="00C54A52">
        <w:rPr>
          <w:rFonts w:cs="Arial"/>
          <w:szCs w:val="22"/>
        </w:rPr>
        <w:t>1</w:t>
      </w:r>
    </w:p>
    <w:p w14:paraId="58015DE4" w14:textId="6809F51C" w:rsidR="008231E7" w:rsidRDefault="008231E7" w:rsidP="008231E7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  <w:r w:rsidRPr="004C1809">
        <w:rPr>
          <w:rFonts w:cs="Arial"/>
          <w:szCs w:val="22"/>
        </w:rPr>
        <w:t>L</w:t>
      </w:r>
      <w:r>
        <w:rPr>
          <w:rFonts w:cs="Arial"/>
          <w:szCs w:val="22"/>
        </w:rPr>
        <w:t>’annexe 1 « Plan de zonage</w:t>
      </w:r>
      <w:r w:rsidR="00AB426D">
        <w:rPr>
          <w:rFonts w:cs="Arial"/>
          <w:szCs w:val="22"/>
        </w:rPr>
        <w:t> » (feuillets 1 de 2 et 2 de 2) est modifié par l’agrandissement de la zone I-3 à même une partie de la zone C</w:t>
      </w:r>
      <w:r w:rsidR="00117D68">
        <w:rPr>
          <w:rFonts w:cs="Arial"/>
          <w:szCs w:val="22"/>
        </w:rPr>
        <w:t xml:space="preserve">-6 </w:t>
      </w:r>
      <w:r>
        <w:rPr>
          <w:rFonts w:cs="Arial"/>
          <w:szCs w:val="22"/>
        </w:rPr>
        <w:t>afin d’intégrer une partie du lot 6 630</w:t>
      </w:r>
      <w:r w:rsidR="00117D68">
        <w:rPr>
          <w:rFonts w:cs="Arial"/>
          <w:szCs w:val="22"/>
        </w:rPr>
        <w:t> </w:t>
      </w:r>
      <w:r>
        <w:rPr>
          <w:rFonts w:cs="Arial"/>
          <w:szCs w:val="22"/>
        </w:rPr>
        <w:t>840</w:t>
      </w:r>
      <w:r w:rsidR="00117D68">
        <w:rPr>
          <w:rFonts w:cs="Arial"/>
          <w:szCs w:val="22"/>
        </w:rPr>
        <w:t xml:space="preserve">, le tout tel que joint </w:t>
      </w:r>
      <w:r w:rsidR="00DB52F5">
        <w:rPr>
          <w:rFonts w:cs="Arial"/>
          <w:szCs w:val="22"/>
        </w:rPr>
        <w:t>à l’annexe 1 du présent règlement.</w:t>
      </w:r>
    </w:p>
    <w:p w14:paraId="2D071F3E" w14:textId="77777777" w:rsidR="008231E7" w:rsidRPr="004C1809" w:rsidRDefault="008231E7" w:rsidP="00D52371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jc w:val="both"/>
        <w:rPr>
          <w:rFonts w:cs="Arial"/>
          <w:szCs w:val="22"/>
        </w:rPr>
      </w:pPr>
    </w:p>
    <w:p w14:paraId="3D7F732D" w14:textId="3014F3AB" w:rsidR="00421D65" w:rsidRPr="004C1809" w:rsidRDefault="00421D65" w:rsidP="009346BD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  <w:r w:rsidRPr="004C1809">
        <w:rPr>
          <w:rFonts w:cs="Arial"/>
          <w:szCs w:val="22"/>
        </w:rPr>
        <w:t>ARTICLE</w:t>
      </w:r>
      <w:r w:rsidR="00C02B09" w:rsidRPr="004C1809">
        <w:rPr>
          <w:rFonts w:cs="Arial"/>
          <w:szCs w:val="22"/>
        </w:rPr>
        <w:t xml:space="preserve"> </w:t>
      </w:r>
      <w:r w:rsidR="00BA6659">
        <w:rPr>
          <w:rFonts w:cs="Arial"/>
          <w:szCs w:val="22"/>
        </w:rPr>
        <w:t>1</w:t>
      </w:r>
      <w:r w:rsidR="00C54A52">
        <w:rPr>
          <w:rFonts w:cs="Arial"/>
          <w:szCs w:val="22"/>
        </w:rPr>
        <w:t>2</w:t>
      </w:r>
    </w:p>
    <w:p w14:paraId="5D72628F" w14:textId="592820CC" w:rsidR="006C285D" w:rsidRPr="006C39FE" w:rsidRDefault="006C285D" w:rsidP="00161B5B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  <w:r w:rsidRPr="006C39FE">
        <w:rPr>
          <w:rFonts w:cs="Arial"/>
          <w:szCs w:val="22"/>
        </w:rPr>
        <w:t>Le présent règlement entrera en vigueur conformément à la loi.</w:t>
      </w:r>
    </w:p>
    <w:p w14:paraId="083BE04B" w14:textId="77777777" w:rsidR="00A4259A" w:rsidRPr="006C39FE" w:rsidRDefault="00A4259A" w:rsidP="009346BD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</w:p>
    <w:p w14:paraId="7C1856A3" w14:textId="13F6E5D2" w:rsidR="0063600B" w:rsidRPr="006C39FE" w:rsidRDefault="006C285D" w:rsidP="00902D6D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after="240" w:line="360" w:lineRule="auto"/>
        <w:rPr>
          <w:rFonts w:cs="Arial"/>
          <w:szCs w:val="22"/>
        </w:rPr>
      </w:pPr>
      <w:r w:rsidRPr="006C39FE">
        <w:rPr>
          <w:rFonts w:cs="Arial"/>
          <w:szCs w:val="22"/>
        </w:rPr>
        <w:t>L</w:t>
      </w:r>
      <w:r w:rsidR="00E84388">
        <w:rPr>
          <w:rFonts w:cs="Arial"/>
          <w:szCs w:val="22"/>
        </w:rPr>
        <w:t>a</w:t>
      </w:r>
      <w:r w:rsidRPr="006C39FE">
        <w:rPr>
          <w:rFonts w:cs="Arial"/>
          <w:szCs w:val="22"/>
        </w:rPr>
        <w:t xml:space="preserve"> </w:t>
      </w:r>
      <w:r w:rsidR="004624DF">
        <w:rPr>
          <w:rFonts w:cs="Arial"/>
          <w:szCs w:val="22"/>
        </w:rPr>
        <w:t>directrice</w:t>
      </w:r>
      <w:r w:rsidRPr="006C39FE">
        <w:rPr>
          <w:rFonts w:cs="Arial"/>
          <w:szCs w:val="22"/>
        </w:rPr>
        <w:t xml:space="preserve"> général</w:t>
      </w:r>
      <w:r w:rsidR="004624DF">
        <w:rPr>
          <w:rFonts w:cs="Arial"/>
          <w:szCs w:val="22"/>
        </w:rPr>
        <w:t>e</w:t>
      </w:r>
      <w:r w:rsidRPr="006C39FE">
        <w:rPr>
          <w:rFonts w:cs="Arial"/>
          <w:szCs w:val="22"/>
        </w:rPr>
        <w:t>,</w:t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="00D973B9" w:rsidRPr="006C39FE">
        <w:rPr>
          <w:rFonts w:cs="Arial"/>
          <w:szCs w:val="22"/>
        </w:rPr>
        <w:t>La</w:t>
      </w:r>
      <w:r w:rsidRPr="006C39FE">
        <w:rPr>
          <w:rFonts w:cs="Arial"/>
          <w:szCs w:val="22"/>
        </w:rPr>
        <w:t xml:space="preserve"> maire</w:t>
      </w:r>
      <w:r w:rsidR="00D973B9" w:rsidRPr="006C39FE">
        <w:rPr>
          <w:rFonts w:cs="Arial"/>
          <w:szCs w:val="22"/>
        </w:rPr>
        <w:t>sse</w:t>
      </w:r>
      <w:r w:rsidRPr="006C39FE">
        <w:rPr>
          <w:rFonts w:cs="Arial"/>
          <w:szCs w:val="22"/>
        </w:rPr>
        <w:t>,</w:t>
      </w:r>
    </w:p>
    <w:p w14:paraId="17463091" w14:textId="5CE9D4C7" w:rsidR="006C285D" w:rsidRPr="006C39FE" w:rsidRDefault="004624DF" w:rsidP="009346BD">
      <w:pPr>
        <w:tabs>
          <w:tab w:val="left" w:pos="402"/>
          <w:tab w:val="left" w:pos="720"/>
          <w:tab w:val="left" w:pos="3110"/>
          <w:tab w:val="left" w:pos="3312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Suzie Bélanger</w:t>
      </w:r>
      <w:r w:rsidR="006C285D" w:rsidRPr="006C39FE">
        <w:rPr>
          <w:rFonts w:cs="Arial"/>
          <w:szCs w:val="22"/>
        </w:rPr>
        <w:tab/>
      </w:r>
      <w:r w:rsidR="006C285D" w:rsidRPr="006C39FE">
        <w:rPr>
          <w:rFonts w:cs="Arial"/>
          <w:szCs w:val="22"/>
        </w:rPr>
        <w:tab/>
      </w:r>
      <w:r w:rsidR="006C285D" w:rsidRPr="006C39FE">
        <w:rPr>
          <w:rFonts w:cs="Arial"/>
          <w:szCs w:val="22"/>
        </w:rPr>
        <w:tab/>
      </w:r>
      <w:r w:rsidR="006C285D" w:rsidRPr="006C39FE">
        <w:rPr>
          <w:rFonts w:cs="Arial"/>
          <w:szCs w:val="22"/>
        </w:rPr>
        <w:tab/>
      </w:r>
      <w:r w:rsidR="00D973B9" w:rsidRPr="006C39FE">
        <w:rPr>
          <w:rFonts w:cs="Arial"/>
          <w:szCs w:val="22"/>
        </w:rPr>
        <w:t>Marilyn Nadeau</w:t>
      </w:r>
    </w:p>
    <w:p w14:paraId="7AC1F719" w14:textId="77777777" w:rsidR="00F3540E" w:rsidRPr="006C39FE" w:rsidRDefault="00F3540E" w:rsidP="009346BD">
      <w:pPr>
        <w:tabs>
          <w:tab w:val="left" w:pos="-1094"/>
          <w:tab w:val="left" w:pos="402"/>
          <w:tab w:val="left" w:pos="720"/>
          <w:tab w:val="left" w:pos="1980"/>
          <w:tab w:val="left" w:pos="3110"/>
          <w:tab w:val="left" w:pos="4680"/>
          <w:tab w:val="left" w:pos="5760"/>
        </w:tabs>
        <w:spacing w:line="360" w:lineRule="auto"/>
        <w:rPr>
          <w:rFonts w:cs="Arial"/>
          <w:szCs w:val="22"/>
        </w:rPr>
      </w:pPr>
    </w:p>
    <w:p w14:paraId="7E3184C5" w14:textId="71773A5C" w:rsidR="00F94102" w:rsidRPr="006C39FE" w:rsidRDefault="00F94102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  <w:bookmarkStart w:id="1" w:name="_Hlk64443736"/>
      <w:r w:rsidRPr="006C39FE">
        <w:rPr>
          <w:rFonts w:cs="Arial"/>
          <w:szCs w:val="22"/>
        </w:rPr>
        <w:t>Avis de motion :</w:t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="00CD4620"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 xml:space="preserve">Le </w:t>
      </w:r>
      <w:r w:rsidR="00CA715A">
        <w:rPr>
          <w:rFonts w:cs="Arial"/>
          <w:szCs w:val="22"/>
        </w:rPr>
        <w:t>11 mars</w:t>
      </w:r>
      <w:r w:rsidR="009A0F07">
        <w:rPr>
          <w:rFonts w:cs="Arial"/>
          <w:szCs w:val="22"/>
        </w:rPr>
        <w:t xml:space="preserve"> 2025</w:t>
      </w:r>
    </w:p>
    <w:p w14:paraId="4CBF8229" w14:textId="1D84A911" w:rsidR="00F94102" w:rsidRPr="006C39FE" w:rsidRDefault="00F94102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  <w:r w:rsidRPr="006C39FE">
        <w:rPr>
          <w:rFonts w:cs="Arial"/>
          <w:szCs w:val="22"/>
        </w:rPr>
        <w:t>Dépôt d’un projet de règlement :</w:t>
      </w:r>
      <w:r w:rsidRPr="006C39FE">
        <w:rPr>
          <w:rFonts w:cs="Arial"/>
          <w:szCs w:val="22"/>
        </w:rPr>
        <w:tab/>
      </w:r>
      <w:r w:rsidR="00CD4620" w:rsidRPr="006C39FE">
        <w:rPr>
          <w:rFonts w:cs="Arial"/>
          <w:szCs w:val="22"/>
        </w:rPr>
        <w:tab/>
      </w:r>
      <w:r w:rsidR="00BE1345" w:rsidRPr="006C39FE">
        <w:rPr>
          <w:rFonts w:cs="Arial"/>
          <w:szCs w:val="22"/>
        </w:rPr>
        <w:t xml:space="preserve">Le </w:t>
      </w:r>
      <w:r w:rsidR="00CA715A">
        <w:rPr>
          <w:rFonts w:cs="Arial"/>
          <w:szCs w:val="22"/>
        </w:rPr>
        <w:t>11 mars</w:t>
      </w:r>
      <w:r w:rsidR="009A0F07">
        <w:rPr>
          <w:rFonts w:cs="Arial"/>
          <w:szCs w:val="22"/>
        </w:rPr>
        <w:t xml:space="preserve"> 2025</w:t>
      </w:r>
    </w:p>
    <w:p w14:paraId="69F13DD4" w14:textId="0A0CE8CA" w:rsidR="00F94102" w:rsidRPr="006C39FE" w:rsidRDefault="001507AF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  <w:r w:rsidRPr="006C39FE">
        <w:rPr>
          <w:rFonts w:cs="Arial"/>
          <w:szCs w:val="22"/>
        </w:rPr>
        <w:t xml:space="preserve">Adoption du </w:t>
      </w:r>
      <w:r w:rsidR="00F94102" w:rsidRPr="006C39FE">
        <w:rPr>
          <w:rFonts w:cs="Arial"/>
          <w:szCs w:val="22"/>
        </w:rPr>
        <w:t>pr</w:t>
      </w:r>
      <w:r w:rsidR="00CD4620" w:rsidRPr="006C39FE">
        <w:rPr>
          <w:rFonts w:cs="Arial"/>
          <w:szCs w:val="22"/>
        </w:rPr>
        <w:t>emier pr</w:t>
      </w:r>
      <w:r w:rsidR="00F94102" w:rsidRPr="006C39FE">
        <w:rPr>
          <w:rFonts w:cs="Arial"/>
          <w:szCs w:val="22"/>
        </w:rPr>
        <w:t>ojet de règlement :</w:t>
      </w:r>
      <w:r w:rsidR="00F94102" w:rsidRPr="006C39FE">
        <w:rPr>
          <w:rFonts w:cs="Arial"/>
          <w:szCs w:val="22"/>
        </w:rPr>
        <w:tab/>
      </w:r>
      <w:r w:rsidR="00BE1345" w:rsidRPr="006C39FE">
        <w:rPr>
          <w:rFonts w:cs="Arial"/>
          <w:szCs w:val="22"/>
        </w:rPr>
        <w:t>Le</w:t>
      </w:r>
      <w:r w:rsidR="00853154" w:rsidRPr="006C39FE">
        <w:rPr>
          <w:rFonts w:cs="Arial"/>
          <w:szCs w:val="22"/>
        </w:rPr>
        <w:t xml:space="preserve"> </w:t>
      </w:r>
      <w:r w:rsidR="00762022">
        <w:rPr>
          <w:rFonts w:cs="Arial"/>
          <w:szCs w:val="22"/>
        </w:rPr>
        <w:t>1</w:t>
      </w:r>
      <w:r w:rsidR="00762022" w:rsidRPr="00762022">
        <w:rPr>
          <w:rFonts w:cs="Arial"/>
          <w:szCs w:val="22"/>
          <w:vertAlign w:val="superscript"/>
        </w:rPr>
        <w:t>er</w:t>
      </w:r>
      <w:r w:rsidR="00762022">
        <w:rPr>
          <w:rFonts w:cs="Arial"/>
          <w:szCs w:val="22"/>
        </w:rPr>
        <w:t xml:space="preserve"> avril 2025</w:t>
      </w:r>
    </w:p>
    <w:p w14:paraId="66DDCD2C" w14:textId="6FCAEC7B" w:rsidR="00CD4620" w:rsidRPr="006C39FE" w:rsidRDefault="00CD4620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  <w:r w:rsidRPr="006C39FE">
        <w:rPr>
          <w:rFonts w:cs="Arial"/>
          <w:szCs w:val="22"/>
        </w:rPr>
        <w:t>Adoption du second projet de règlement :</w:t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  <w:t xml:space="preserve">Le </w:t>
      </w:r>
      <w:r w:rsidR="00762022">
        <w:rPr>
          <w:rFonts w:cs="Arial"/>
          <w:szCs w:val="22"/>
        </w:rPr>
        <w:t xml:space="preserve"> </w:t>
      </w:r>
      <w:r w:rsidR="009F577D">
        <w:rPr>
          <w:rFonts w:cs="Arial"/>
          <w:szCs w:val="22"/>
        </w:rPr>
        <w:t>6 mai 2025</w:t>
      </w:r>
    </w:p>
    <w:p w14:paraId="6615050C" w14:textId="07DE7EDB" w:rsidR="00F94102" w:rsidRPr="006C39FE" w:rsidRDefault="00F94102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  <w:r w:rsidRPr="006C39FE">
        <w:rPr>
          <w:rFonts w:cs="Arial"/>
          <w:szCs w:val="22"/>
        </w:rPr>
        <w:t>Adoption du règlement</w:t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="00CD4620"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 xml:space="preserve">Le </w:t>
      </w:r>
      <w:r w:rsidR="009F577D">
        <w:rPr>
          <w:rFonts w:cs="Arial"/>
          <w:szCs w:val="22"/>
        </w:rPr>
        <w:t>8 juillet 2025</w:t>
      </w:r>
    </w:p>
    <w:p w14:paraId="4F6F850F" w14:textId="77777777" w:rsidR="00F94102" w:rsidRPr="006C39FE" w:rsidRDefault="00F94102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  <w:r w:rsidRPr="006C39FE">
        <w:rPr>
          <w:rFonts w:cs="Arial"/>
          <w:szCs w:val="22"/>
        </w:rPr>
        <w:t>Publication :</w:t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="00CD4620"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 xml:space="preserve">Le </w:t>
      </w:r>
    </w:p>
    <w:p w14:paraId="763B2474" w14:textId="77777777" w:rsidR="004E4619" w:rsidRDefault="00F94102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  <w:r w:rsidRPr="006C39FE">
        <w:rPr>
          <w:rFonts w:cs="Arial"/>
          <w:szCs w:val="22"/>
        </w:rPr>
        <w:t>Entrée en vigueur :</w:t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Pr="006C39FE">
        <w:rPr>
          <w:rFonts w:cs="Arial"/>
          <w:szCs w:val="22"/>
        </w:rPr>
        <w:tab/>
      </w:r>
      <w:r w:rsidR="00CD4620" w:rsidRPr="006C39FE">
        <w:rPr>
          <w:rFonts w:cs="Arial"/>
          <w:szCs w:val="22"/>
        </w:rPr>
        <w:tab/>
      </w:r>
      <w:bookmarkEnd w:id="1"/>
      <w:r w:rsidR="00C02B09">
        <w:rPr>
          <w:rFonts w:cs="Arial"/>
          <w:szCs w:val="22"/>
        </w:rPr>
        <w:t>L</w:t>
      </w:r>
      <w:r w:rsidR="00182DB8">
        <w:rPr>
          <w:rFonts w:cs="Arial"/>
          <w:szCs w:val="22"/>
        </w:rPr>
        <w:t>e</w:t>
      </w:r>
    </w:p>
    <w:p w14:paraId="727522FD" w14:textId="6551F0F1" w:rsidR="00A841C3" w:rsidRDefault="00A841C3">
      <w:pPr>
        <w:rPr>
          <w:rFonts w:cs="Arial"/>
          <w:szCs w:val="22"/>
        </w:rPr>
      </w:pPr>
    </w:p>
    <w:p w14:paraId="39C7A2D7" w14:textId="521979C8" w:rsidR="00952993" w:rsidRPr="00086B66" w:rsidRDefault="00A841C3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b/>
          <w:bCs/>
          <w:szCs w:val="22"/>
        </w:rPr>
      </w:pPr>
      <w:r w:rsidRPr="00086B66">
        <w:rPr>
          <w:rFonts w:cs="Arial"/>
          <w:b/>
          <w:bCs/>
          <w:szCs w:val="22"/>
        </w:rPr>
        <w:t xml:space="preserve">ANNEXE 1 </w:t>
      </w:r>
      <w:r w:rsidR="00DB52F5" w:rsidRPr="00086B66">
        <w:rPr>
          <w:rFonts w:cs="Arial"/>
          <w:b/>
          <w:bCs/>
          <w:szCs w:val="22"/>
        </w:rPr>
        <w:t>– Agrandissement de la zone I-3</w:t>
      </w:r>
    </w:p>
    <w:p w14:paraId="7225878F" w14:textId="77777777" w:rsidR="00A841C3" w:rsidRDefault="00A841C3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8"/>
      </w:tblGrid>
      <w:tr w:rsidR="00F8768B" w:rsidRPr="00F8768B" w14:paraId="13160893" w14:textId="77777777" w:rsidTr="00F8768B">
        <w:tc>
          <w:tcPr>
            <w:tcW w:w="8918" w:type="dxa"/>
          </w:tcPr>
          <w:p w14:paraId="7E68BC8A" w14:textId="31722657" w:rsidR="00F8768B" w:rsidRPr="00F8768B" w:rsidRDefault="00F8768B" w:rsidP="00F8768B">
            <w:pPr>
              <w:tabs>
                <w:tab w:val="left" w:pos="402"/>
                <w:tab w:val="left" w:pos="720"/>
                <w:tab w:val="left" w:pos="1980"/>
                <w:tab w:val="left" w:pos="3110"/>
                <w:tab w:val="left" w:pos="4050"/>
                <w:tab w:val="left" w:pos="5760"/>
              </w:tabs>
              <w:suppressAutoHyphens/>
              <w:jc w:val="center"/>
              <w:rPr>
                <w:rFonts w:cs="Arial"/>
                <w:b/>
                <w:bCs/>
                <w:szCs w:val="22"/>
              </w:rPr>
            </w:pPr>
            <w:r w:rsidRPr="00F8768B">
              <w:rPr>
                <w:rFonts w:cs="Arial"/>
                <w:b/>
                <w:bCs/>
                <w:szCs w:val="22"/>
              </w:rPr>
              <w:t xml:space="preserve">Avant la modification </w:t>
            </w:r>
          </w:p>
        </w:tc>
      </w:tr>
      <w:tr w:rsidR="00F8768B" w14:paraId="58570F7E" w14:textId="77777777" w:rsidTr="00F8768B">
        <w:tc>
          <w:tcPr>
            <w:tcW w:w="8918" w:type="dxa"/>
          </w:tcPr>
          <w:p w14:paraId="4F53AE6B" w14:textId="2D1786D9" w:rsidR="00F8768B" w:rsidRDefault="00086B66" w:rsidP="00086B66">
            <w:pPr>
              <w:tabs>
                <w:tab w:val="left" w:pos="402"/>
                <w:tab w:val="left" w:pos="720"/>
                <w:tab w:val="left" w:pos="1980"/>
                <w:tab w:val="left" w:pos="3110"/>
                <w:tab w:val="left" w:pos="4050"/>
                <w:tab w:val="left" w:pos="5760"/>
              </w:tabs>
              <w:suppressAutoHyphens/>
              <w:jc w:val="center"/>
              <w:rPr>
                <w:rFonts w:cs="Arial"/>
                <w:szCs w:val="22"/>
              </w:rPr>
            </w:pPr>
            <w:r w:rsidRPr="00086B66">
              <w:rPr>
                <w:rFonts w:cs="Arial"/>
                <w:noProof/>
                <w:szCs w:val="22"/>
              </w:rPr>
              <w:drawing>
                <wp:inline distT="0" distB="0" distL="0" distR="0" wp14:anchorId="7A9CFECE" wp14:editId="3DCC05D5">
                  <wp:extent cx="3522784" cy="3129785"/>
                  <wp:effectExtent l="0" t="0" r="1905" b="0"/>
                  <wp:docPr id="9811355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1355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752" cy="313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68B" w:rsidRPr="00F8768B" w14:paraId="346755CB" w14:textId="77777777" w:rsidTr="00AB430B">
        <w:tc>
          <w:tcPr>
            <w:tcW w:w="8918" w:type="dxa"/>
          </w:tcPr>
          <w:p w14:paraId="074670F0" w14:textId="67F6FF21" w:rsidR="00F8768B" w:rsidRPr="00F8768B" w:rsidRDefault="00F8768B" w:rsidP="00AB430B">
            <w:pPr>
              <w:tabs>
                <w:tab w:val="left" w:pos="402"/>
                <w:tab w:val="left" w:pos="720"/>
                <w:tab w:val="left" w:pos="1980"/>
                <w:tab w:val="left" w:pos="3110"/>
                <w:tab w:val="left" w:pos="4050"/>
                <w:tab w:val="left" w:pos="5760"/>
              </w:tabs>
              <w:suppressAutoHyphens/>
              <w:jc w:val="center"/>
              <w:rPr>
                <w:rFonts w:cs="Arial"/>
                <w:b/>
                <w:bCs/>
                <w:szCs w:val="22"/>
              </w:rPr>
            </w:pPr>
            <w:r w:rsidRPr="00F8768B">
              <w:rPr>
                <w:rFonts w:cs="Arial"/>
                <w:b/>
                <w:bCs/>
                <w:szCs w:val="22"/>
              </w:rPr>
              <w:t xml:space="preserve">Après la modification </w:t>
            </w:r>
          </w:p>
        </w:tc>
      </w:tr>
      <w:tr w:rsidR="00F8768B" w14:paraId="016A713A" w14:textId="77777777" w:rsidTr="00F8768B">
        <w:tc>
          <w:tcPr>
            <w:tcW w:w="8918" w:type="dxa"/>
          </w:tcPr>
          <w:p w14:paraId="1EFA3FB3" w14:textId="26CB92FF" w:rsidR="00F8768B" w:rsidRDefault="00086B66" w:rsidP="00086B66">
            <w:pPr>
              <w:tabs>
                <w:tab w:val="left" w:pos="402"/>
                <w:tab w:val="left" w:pos="720"/>
                <w:tab w:val="left" w:pos="1980"/>
                <w:tab w:val="left" w:pos="3110"/>
                <w:tab w:val="left" w:pos="4050"/>
                <w:tab w:val="left" w:pos="5760"/>
              </w:tabs>
              <w:suppressAutoHyphens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31574" wp14:editId="2B4C6DB6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1727200</wp:posOffset>
                      </wp:positionV>
                      <wp:extent cx="857250" cy="847725"/>
                      <wp:effectExtent l="19050" t="19050" r="38100" b="47625"/>
                      <wp:wrapNone/>
                      <wp:docPr id="1153097203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47725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D11872" id="Ellipse 1" o:spid="_x0000_s1026" style="position:absolute;margin-left:132.5pt;margin-top:136pt;width:67.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" filled="f" strokecolor="black [3213]" strokeweight="4.5pt">
                      <v:stroke joinstyle="miter"/>
                    </v:oval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w:drawing>
                <wp:inline distT="0" distB="0" distL="0" distR="0" wp14:anchorId="2C5218CB" wp14:editId="759B285C">
                  <wp:extent cx="3457575" cy="3000914"/>
                  <wp:effectExtent l="0" t="0" r="0" b="9525"/>
                  <wp:docPr id="173592328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61" t="17143" r="30472" b="50000"/>
                          <a:stretch/>
                        </pic:blipFill>
                        <pic:spPr bwMode="auto">
                          <a:xfrm>
                            <a:off x="0" y="0"/>
                            <a:ext cx="3474581" cy="301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E1432" w14:textId="68E400F4" w:rsidR="00952993" w:rsidRDefault="00952993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</w:p>
    <w:p w14:paraId="38CF11E0" w14:textId="77777777" w:rsidR="00952993" w:rsidRDefault="00952993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</w:pPr>
    </w:p>
    <w:p w14:paraId="04507947" w14:textId="1B7C5496" w:rsidR="00A271D7" w:rsidRPr="006C39FE" w:rsidRDefault="00A271D7" w:rsidP="008D040D">
      <w:pPr>
        <w:tabs>
          <w:tab w:val="left" w:pos="402"/>
          <w:tab w:val="left" w:pos="720"/>
          <w:tab w:val="left" w:pos="1980"/>
          <w:tab w:val="left" w:pos="3110"/>
          <w:tab w:val="left" w:pos="4050"/>
          <w:tab w:val="left" w:pos="5760"/>
        </w:tabs>
        <w:suppressAutoHyphens/>
        <w:rPr>
          <w:rFonts w:cs="Arial"/>
          <w:szCs w:val="22"/>
        </w:rPr>
        <w:sectPr w:rsidR="00A271D7" w:rsidRPr="006C39FE" w:rsidSect="00F47146">
          <w:pgSz w:w="12240" w:h="20160" w:code="5"/>
          <w:pgMar w:top="1440" w:right="1440" w:bottom="720" w:left="1872" w:header="720" w:footer="720" w:gutter="0"/>
          <w:cols w:space="720"/>
          <w:titlePg/>
          <w:docGrid w:linePitch="299"/>
        </w:sectPr>
      </w:pPr>
    </w:p>
    <w:p w14:paraId="1E4950B1" w14:textId="77777777" w:rsidR="004E4619" w:rsidRPr="006C39FE" w:rsidRDefault="004E4619" w:rsidP="00AD5632">
      <w:pPr>
        <w:widowControl w:val="0"/>
        <w:autoSpaceDE w:val="0"/>
        <w:autoSpaceDN w:val="0"/>
        <w:spacing w:before="64" w:line="252" w:lineRule="exact"/>
        <w:rPr>
          <w:rFonts w:cs="Arial"/>
          <w:szCs w:val="22"/>
        </w:rPr>
      </w:pPr>
    </w:p>
    <w:sectPr w:rsidR="004E4619" w:rsidRPr="006C39FE" w:rsidSect="00C02B09">
      <w:pgSz w:w="12240" w:h="15840"/>
      <w:pgMar w:top="800" w:right="58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6CFA" w14:textId="77777777" w:rsidR="004A2331" w:rsidRDefault="004A2331" w:rsidP="00496E32">
      <w:r>
        <w:separator/>
      </w:r>
    </w:p>
  </w:endnote>
  <w:endnote w:type="continuationSeparator" w:id="0">
    <w:p w14:paraId="5D0F2564" w14:textId="77777777" w:rsidR="004A2331" w:rsidRDefault="004A2331" w:rsidP="0049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585C" w14:textId="77777777" w:rsidR="004A2331" w:rsidRDefault="004A2331" w:rsidP="00496E32">
      <w:r>
        <w:separator/>
      </w:r>
    </w:p>
  </w:footnote>
  <w:footnote w:type="continuationSeparator" w:id="0">
    <w:p w14:paraId="5BA1CBB7" w14:textId="77777777" w:rsidR="004A2331" w:rsidRDefault="004A2331" w:rsidP="0049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F037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51E37"/>
    <w:multiLevelType w:val="hybridMultilevel"/>
    <w:tmpl w:val="B414F692"/>
    <w:lvl w:ilvl="0" w:tplc="0C0C0017">
      <w:start w:val="1"/>
      <w:numFmt w:val="lowerLetter"/>
      <w:lvlText w:val="%1)"/>
      <w:lvlJc w:val="left"/>
      <w:pPr>
        <w:ind w:left="1116" w:hanging="360"/>
      </w:pPr>
    </w:lvl>
    <w:lvl w:ilvl="1" w:tplc="0C0C0019" w:tentative="1">
      <w:start w:val="1"/>
      <w:numFmt w:val="lowerLetter"/>
      <w:lvlText w:val="%2."/>
      <w:lvlJc w:val="left"/>
      <w:pPr>
        <w:ind w:left="1836" w:hanging="360"/>
      </w:pPr>
    </w:lvl>
    <w:lvl w:ilvl="2" w:tplc="0C0C001B" w:tentative="1">
      <w:start w:val="1"/>
      <w:numFmt w:val="lowerRoman"/>
      <w:lvlText w:val="%3."/>
      <w:lvlJc w:val="right"/>
      <w:pPr>
        <w:ind w:left="2556" w:hanging="180"/>
      </w:pPr>
    </w:lvl>
    <w:lvl w:ilvl="3" w:tplc="0C0C000F" w:tentative="1">
      <w:start w:val="1"/>
      <w:numFmt w:val="decimal"/>
      <w:lvlText w:val="%4."/>
      <w:lvlJc w:val="left"/>
      <w:pPr>
        <w:ind w:left="3276" w:hanging="360"/>
      </w:pPr>
    </w:lvl>
    <w:lvl w:ilvl="4" w:tplc="0C0C0019" w:tentative="1">
      <w:start w:val="1"/>
      <w:numFmt w:val="lowerLetter"/>
      <w:lvlText w:val="%5."/>
      <w:lvlJc w:val="left"/>
      <w:pPr>
        <w:ind w:left="3996" w:hanging="360"/>
      </w:pPr>
    </w:lvl>
    <w:lvl w:ilvl="5" w:tplc="0C0C001B" w:tentative="1">
      <w:start w:val="1"/>
      <w:numFmt w:val="lowerRoman"/>
      <w:lvlText w:val="%6."/>
      <w:lvlJc w:val="right"/>
      <w:pPr>
        <w:ind w:left="4716" w:hanging="180"/>
      </w:pPr>
    </w:lvl>
    <w:lvl w:ilvl="6" w:tplc="0C0C000F" w:tentative="1">
      <w:start w:val="1"/>
      <w:numFmt w:val="decimal"/>
      <w:lvlText w:val="%7."/>
      <w:lvlJc w:val="left"/>
      <w:pPr>
        <w:ind w:left="5436" w:hanging="360"/>
      </w:pPr>
    </w:lvl>
    <w:lvl w:ilvl="7" w:tplc="0C0C0019" w:tentative="1">
      <w:start w:val="1"/>
      <w:numFmt w:val="lowerLetter"/>
      <w:lvlText w:val="%8."/>
      <w:lvlJc w:val="left"/>
      <w:pPr>
        <w:ind w:left="6156" w:hanging="360"/>
      </w:pPr>
    </w:lvl>
    <w:lvl w:ilvl="8" w:tplc="0C0C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22DD24A8"/>
    <w:multiLevelType w:val="hybridMultilevel"/>
    <w:tmpl w:val="E7FA19C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A12C2"/>
    <w:multiLevelType w:val="hybridMultilevel"/>
    <w:tmpl w:val="A9F6B740"/>
    <w:lvl w:ilvl="0" w:tplc="0C0C0017">
      <w:start w:val="1"/>
      <w:numFmt w:val="lowerLetter"/>
      <w:lvlText w:val="%1)"/>
      <w:lvlJc w:val="left"/>
      <w:pPr>
        <w:ind w:left="1066" w:hanging="360"/>
      </w:pPr>
    </w:lvl>
    <w:lvl w:ilvl="1" w:tplc="0C0C0019" w:tentative="1">
      <w:start w:val="1"/>
      <w:numFmt w:val="lowerLetter"/>
      <w:lvlText w:val="%2."/>
      <w:lvlJc w:val="left"/>
      <w:pPr>
        <w:ind w:left="1786" w:hanging="360"/>
      </w:pPr>
    </w:lvl>
    <w:lvl w:ilvl="2" w:tplc="0C0C001B" w:tentative="1">
      <w:start w:val="1"/>
      <w:numFmt w:val="lowerRoman"/>
      <w:lvlText w:val="%3."/>
      <w:lvlJc w:val="right"/>
      <w:pPr>
        <w:ind w:left="2506" w:hanging="180"/>
      </w:pPr>
    </w:lvl>
    <w:lvl w:ilvl="3" w:tplc="0C0C000F" w:tentative="1">
      <w:start w:val="1"/>
      <w:numFmt w:val="decimal"/>
      <w:lvlText w:val="%4."/>
      <w:lvlJc w:val="left"/>
      <w:pPr>
        <w:ind w:left="3226" w:hanging="360"/>
      </w:pPr>
    </w:lvl>
    <w:lvl w:ilvl="4" w:tplc="0C0C0019" w:tentative="1">
      <w:start w:val="1"/>
      <w:numFmt w:val="lowerLetter"/>
      <w:lvlText w:val="%5."/>
      <w:lvlJc w:val="left"/>
      <w:pPr>
        <w:ind w:left="3946" w:hanging="360"/>
      </w:pPr>
    </w:lvl>
    <w:lvl w:ilvl="5" w:tplc="0C0C001B" w:tentative="1">
      <w:start w:val="1"/>
      <w:numFmt w:val="lowerRoman"/>
      <w:lvlText w:val="%6."/>
      <w:lvlJc w:val="right"/>
      <w:pPr>
        <w:ind w:left="4666" w:hanging="180"/>
      </w:pPr>
    </w:lvl>
    <w:lvl w:ilvl="6" w:tplc="0C0C000F" w:tentative="1">
      <w:start w:val="1"/>
      <w:numFmt w:val="decimal"/>
      <w:lvlText w:val="%7."/>
      <w:lvlJc w:val="left"/>
      <w:pPr>
        <w:ind w:left="5386" w:hanging="360"/>
      </w:pPr>
    </w:lvl>
    <w:lvl w:ilvl="7" w:tplc="0C0C0019" w:tentative="1">
      <w:start w:val="1"/>
      <w:numFmt w:val="lowerLetter"/>
      <w:lvlText w:val="%8."/>
      <w:lvlJc w:val="left"/>
      <w:pPr>
        <w:ind w:left="6106" w:hanging="360"/>
      </w:pPr>
    </w:lvl>
    <w:lvl w:ilvl="8" w:tplc="0C0C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5E1816E5"/>
    <w:multiLevelType w:val="hybridMultilevel"/>
    <w:tmpl w:val="91307BD8"/>
    <w:lvl w:ilvl="0" w:tplc="FFFFFFFF">
      <w:start w:val="1"/>
      <w:numFmt w:val="decimal"/>
      <w:lvlText w:val="%1."/>
      <w:lvlJc w:val="left"/>
      <w:pPr>
        <w:ind w:left="984" w:hanging="360"/>
      </w:pPr>
    </w:lvl>
    <w:lvl w:ilvl="1" w:tplc="FFFFFFFF" w:tentative="1">
      <w:start w:val="1"/>
      <w:numFmt w:val="lowerLetter"/>
      <w:lvlText w:val="%2."/>
      <w:lvlJc w:val="left"/>
      <w:pPr>
        <w:ind w:left="1704" w:hanging="360"/>
      </w:pPr>
    </w:lvl>
    <w:lvl w:ilvl="2" w:tplc="FFFFFFFF" w:tentative="1">
      <w:start w:val="1"/>
      <w:numFmt w:val="lowerRoman"/>
      <w:lvlText w:val="%3."/>
      <w:lvlJc w:val="right"/>
      <w:pPr>
        <w:ind w:left="2424" w:hanging="180"/>
      </w:pPr>
    </w:lvl>
    <w:lvl w:ilvl="3" w:tplc="FFFFFFFF" w:tentative="1">
      <w:start w:val="1"/>
      <w:numFmt w:val="decimal"/>
      <w:lvlText w:val="%4."/>
      <w:lvlJc w:val="left"/>
      <w:pPr>
        <w:ind w:left="3144" w:hanging="360"/>
      </w:pPr>
    </w:lvl>
    <w:lvl w:ilvl="4" w:tplc="FFFFFFFF" w:tentative="1">
      <w:start w:val="1"/>
      <w:numFmt w:val="lowerLetter"/>
      <w:lvlText w:val="%5."/>
      <w:lvlJc w:val="left"/>
      <w:pPr>
        <w:ind w:left="3864" w:hanging="360"/>
      </w:pPr>
    </w:lvl>
    <w:lvl w:ilvl="5" w:tplc="FFFFFFFF" w:tentative="1">
      <w:start w:val="1"/>
      <w:numFmt w:val="lowerRoman"/>
      <w:lvlText w:val="%6."/>
      <w:lvlJc w:val="right"/>
      <w:pPr>
        <w:ind w:left="4584" w:hanging="180"/>
      </w:pPr>
    </w:lvl>
    <w:lvl w:ilvl="6" w:tplc="FFFFFFFF" w:tentative="1">
      <w:start w:val="1"/>
      <w:numFmt w:val="decimal"/>
      <w:lvlText w:val="%7."/>
      <w:lvlJc w:val="left"/>
      <w:pPr>
        <w:ind w:left="5304" w:hanging="360"/>
      </w:pPr>
    </w:lvl>
    <w:lvl w:ilvl="7" w:tplc="FFFFFFFF" w:tentative="1">
      <w:start w:val="1"/>
      <w:numFmt w:val="lowerLetter"/>
      <w:lvlText w:val="%8."/>
      <w:lvlJc w:val="left"/>
      <w:pPr>
        <w:ind w:left="6024" w:hanging="360"/>
      </w:pPr>
    </w:lvl>
    <w:lvl w:ilvl="8" w:tplc="FFFFFFFF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844780335">
    <w:abstractNumId w:val="0"/>
  </w:num>
  <w:num w:numId="2" w16cid:durableId="1450204373">
    <w:abstractNumId w:val="2"/>
  </w:num>
  <w:num w:numId="3" w16cid:durableId="125394183">
    <w:abstractNumId w:val="4"/>
  </w:num>
  <w:num w:numId="4" w16cid:durableId="1753745267">
    <w:abstractNumId w:val="1"/>
  </w:num>
  <w:num w:numId="5" w16cid:durableId="7378227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14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DA"/>
    <w:rsid w:val="00000B26"/>
    <w:rsid w:val="0001248A"/>
    <w:rsid w:val="00015466"/>
    <w:rsid w:val="00016C02"/>
    <w:rsid w:val="00035AF6"/>
    <w:rsid w:val="0004084C"/>
    <w:rsid w:val="0004222C"/>
    <w:rsid w:val="00044C38"/>
    <w:rsid w:val="00061C68"/>
    <w:rsid w:val="000634A3"/>
    <w:rsid w:val="000729B8"/>
    <w:rsid w:val="00085EF9"/>
    <w:rsid w:val="00086B66"/>
    <w:rsid w:val="00090ABC"/>
    <w:rsid w:val="000914A8"/>
    <w:rsid w:val="0009648E"/>
    <w:rsid w:val="000A03F5"/>
    <w:rsid w:val="000C5463"/>
    <w:rsid w:val="000C72BE"/>
    <w:rsid w:val="000C77C9"/>
    <w:rsid w:val="000D546C"/>
    <w:rsid w:val="000E1895"/>
    <w:rsid w:val="000F795F"/>
    <w:rsid w:val="00103244"/>
    <w:rsid w:val="00113719"/>
    <w:rsid w:val="00113D3D"/>
    <w:rsid w:val="00117D68"/>
    <w:rsid w:val="001215CA"/>
    <w:rsid w:val="0013139F"/>
    <w:rsid w:val="0013777B"/>
    <w:rsid w:val="001475AE"/>
    <w:rsid w:val="00147F6E"/>
    <w:rsid w:val="001507AF"/>
    <w:rsid w:val="001526CA"/>
    <w:rsid w:val="001533C1"/>
    <w:rsid w:val="00154C27"/>
    <w:rsid w:val="00161B5B"/>
    <w:rsid w:val="00166B35"/>
    <w:rsid w:val="00172E6B"/>
    <w:rsid w:val="00176BBF"/>
    <w:rsid w:val="0018039E"/>
    <w:rsid w:val="00181FD0"/>
    <w:rsid w:val="00182DB8"/>
    <w:rsid w:val="00190819"/>
    <w:rsid w:val="001A2547"/>
    <w:rsid w:val="001A518A"/>
    <w:rsid w:val="001A603B"/>
    <w:rsid w:val="001B066F"/>
    <w:rsid w:val="001B3095"/>
    <w:rsid w:val="001B36A5"/>
    <w:rsid w:val="001C07B5"/>
    <w:rsid w:val="001D36B1"/>
    <w:rsid w:val="001E74BD"/>
    <w:rsid w:val="001E7E15"/>
    <w:rsid w:val="001F0B61"/>
    <w:rsid w:val="001F14AF"/>
    <w:rsid w:val="001F2202"/>
    <w:rsid w:val="001F6B82"/>
    <w:rsid w:val="002072E4"/>
    <w:rsid w:val="00210854"/>
    <w:rsid w:val="00211345"/>
    <w:rsid w:val="00214AEE"/>
    <w:rsid w:val="00214C6E"/>
    <w:rsid w:val="00225B07"/>
    <w:rsid w:val="002336D8"/>
    <w:rsid w:val="0023583E"/>
    <w:rsid w:val="002362D5"/>
    <w:rsid w:val="00243C81"/>
    <w:rsid w:val="0024767C"/>
    <w:rsid w:val="0025159C"/>
    <w:rsid w:val="00251DB0"/>
    <w:rsid w:val="00252DA9"/>
    <w:rsid w:val="00254949"/>
    <w:rsid w:val="00254EF4"/>
    <w:rsid w:val="00260948"/>
    <w:rsid w:val="00260CB5"/>
    <w:rsid w:val="00273424"/>
    <w:rsid w:val="002747F6"/>
    <w:rsid w:val="00276177"/>
    <w:rsid w:val="00276805"/>
    <w:rsid w:val="00280773"/>
    <w:rsid w:val="002852AC"/>
    <w:rsid w:val="00294DE6"/>
    <w:rsid w:val="002A777A"/>
    <w:rsid w:val="002B350D"/>
    <w:rsid w:val="002B7334"/>
    <w:rsid w:val="002C468C"/>
    <w:rsid w:val="002C542C"/>
    <w:rsid w:val="002D5388"/>
    <w:rsid w:val="002D5ECA"/>
    <w:rsid w:val="002F1447"/>
    <w:rsid w:val="00305C92"/>
    <w:rsid w:val="00307DDE"/>
    <w:rsid w:val="003106FA"/>
    <w:rsid w:val="00312D16"/>
    <w:rsid w:val="00334B1D"/>
    <w:rsid w:val="00350736"/>
    <w:rsid w:val="003739A2"/>
    <w:rsid w:val="00374AB0"/>
    <w:rsid w:val="00377B93"/>
    <w:rsid w:val="003818DA"/>
    <w:rsid w:val="00381910"/>
    <w:rsid w:val="00391343"/>
    <w:rsid w:val="003929F4"/>
    <w:rsid w:val="003953A2"/>
    <w:rsid w:val="00396B6F"/>
    <w:rsid w:val="003A0E5B"/>
    <w:rsid w:val="003B1D8A"/>
    <w:rsid w:val="003B1DA6"/>
    <w:rsid w:val="003B2A94"/>
    <w:rsid w:val="003B45B6"/>
    <w:rsid w:val="003C149D"/>
    <w:rsid w:val="003C1E73"/>
    <w:rsid w:val="003C58AE"/>
    <w:rsid w:val="003D3001"/>
    <w:rsid w:val="003D4298"/>
    <w:rsid w:val="003E226A"/>
    <w:rsid w:val="003E30C1"/>
    <w:rsid w:val="003E7EE6"/>
    <w:rsid w:val="003F0B4C"/>
    <w:rsid w:val="003F1FF2"/>
    <w:rsid w:val="003F5D9D"/>
    <w:rsid w:val="00400044"/>
    <w:rsid w:val="00402D2F"/>
    <w:rsid w:val="00421D65"/>
    <w:rsid w:val="004276C5"/>
    <w:rsid w:val="00454073"/>
    <w:rsid w:val="004624DF"/>
    <w:rsid w:val="00462A3E"/>
    <w:rsid w:val="0046363F"/>
    <w:rsid w:val="004768FD"/>
    <w:rsid w:val="004922A1"/>
    <w:rsid w:val="00494A72"/>
    <w:rsid w:val="0049598C"/>
    <w:rsid w:val="00496E32"/>
    <w:rsid w:val="004A2331"/>
    <w:rsid w:val="004B2351"/>
    <w:rsid w:val="004B5F8D"/>
    <w:rsid w:val="004C1106"/>
    <w:rsid w:val="004C1809"/>
    <w:rsid w:val="004C1C3D"/>
    <w:rsid w:val="004C614E"/>
    <w:rsid w:val="004D40A1"/>
    <w:rsid w:val="004D4EC4"/>
    <w:rsid w:val="004E4619"/>
    <w:rsid w:val="004F4F70"/>
    <w:rsid w:val="004F68C1"/>
    <w:rsid w:val="005002EA"/>
    <w:rsid w:val="005018E7"/>
    <w:rsid w:val="005035C5"/>
    <w:rsid w:val="00525B24"/>
    <w:rsid w:val="00531F7B"/>
    <w:rsid w:val="00533B31"/>
    <w:rsid w:val="00535F30"/>
    <w:rsid w:val="00541677"/>
    <w:rsid w:val="00541692"/>
    <w:rsid w:val="005462EE"/>
    <w:rsid w:val="00547B7D"/>
    <w:rsid w:val="0055301C"/>
    <w:rsid w:val="00554699"/>
    <w:rsid w:val="00561E1F"/>
    <w:rsid w:val="005646D1"/>
    <w:rsid w:val="00565B7B"/>
    <w:rsid w:val="005805B9"/>
    <w:rsid w:val="00587D52"/>
    <w:rsid w:val="00597921"/>
    <w:rsid w:val="005A1D72"/>
    <w:rsid w:val="005A3B58"/>
    <w:rsid w:val="005A587F"/>
    <w:rsid w:val="005D3BD6"/>
    <w:rsid w:val="005D5554"/>
    <w:rsid w:val="005D638B"/>
    <w:rsid w:val="005D75AE"/>
    <w:rsid w:val="005E0C95"/>
    <w:rsid w:val="005E530F"/>
    <w:rsid w:val="005E778E"/>
    <w:rsid w:val="005F06EA"/>
    <w:rsid w:val="005F2B32"/>
    <w:rsid w:val="005F4BAE"/>
    <w:rsid w:val="005F6331"/>
    <w:rsid w:val="006016C9"/>
    <w:rsid w:val="0060330F"/>
    <w:rsid w:val="006045A1"/>
    <w:rsid w:val="00604CC0"/>
    <w:rsid w:val="0060681C"/>
    <w:rsid w:val="00615A3D"/>
    <w:rsid w:val="00617B3D"/>
    <w:rsid w:val="00621066"/>
    <w:rsid w:val="00622313"/>
    <w:rsid w:val="00626CAF"/>
    <w:rsid w:val="00627A6E"/>
    <w:rsid w:val="0063600B"/>
    <w:rsid w:val="00641334"/>
    <w:rsid w:val="00645638"/>
    <w:rsid w:val="00645EF6"/>
    <w:rsid w:val="00663A95"/>
    <w:rsid w:val="006738E0"/>
    <w:rsid w:val="006937C4"/>
    <w:rsid w:val="006A3B7F"/>
    <w:rsid w:val="006C285D"/>
    <w:rsid w:val="006C2CDC"/>
    <w:rsid w:val="006C39FE"/>
    <w:rsid w:val="006D0F3E"/>
    <w:rsid w:val="006E08E8"/>
    <w:rsid w:val="006F5598"/>
    <w:rsid w:val="006F7959"/>
    <w:rsid w:val="00700E08"/>
    <w:rsid w:val="00722F13"/>
    <w:rsid w:val="00727D55"/>
    <w:rsid w:val="00730F56"/>
    <w:rsid w:val="0073476D"/>
    <w:rsid w:val="00752976"/>
    <w:rsid w:val="00752E8E"/>
    <w:rsid w:val="007531B0"/>
    <w:rsid w:val="007557B9"/>
    <w:rsid w:val="00762022"/>
    <w:rsid w:val="007643E0"/>
    <w:rsid w:val="00770071"/>
    <w:rsid w:val="00773F51"/>
    <w:rsid w:val="007903B4"/>
    <w:rsid w:val="007A73C8"/>
    <w:rsid w:val="007B6076"/>
    <w:rsid w:val="007C7FE4"/>
    <w:rsid w:val="007D3370"/>
    <w:rsid w:val="007D5013"/>
    <w:rsid w:val="007E1382"/>
    <w:rsid w:val="007E2A05"/>
    <w:rsid w:val="007E2F2F"/>
    <w:rsid w:val="007F1C38"/>
    <w:rsid w:val="007F4B8F"/>
    <w:rsid w:val="007F5761"/>
    <w:rsid w:val="007F63D3"/>
    <w:rsid w:val="00802034"/>
    <w:rsid w:val="00807277"/>
    <w:rsid w:val="00815109"/>
    <w:rsid w:val="00815355"/>
    <w:rsid w:val="008163C3"/>
    <w:rsid w:val="008231E7"/>
    <w:rsid w:val="0082380C"/>
    <w:rsid w:val="008253BB"/>
    <w:rsid w:val="00826079"/>
    <w:rsid w:val="00831354"/>
    <w:rsid w:val="00831CEB"/>
    <w:rsid w:val="00834C1F"/>
    <w:rsid w:val="00842BA1"/>
    <w:rsid w:val="00842D2C"/>
    <w:rsid w:val="00850752"/>
    <w:rsid w:val="00853154"/>
    <w:rsid w:val="00861468"/>
    <w:rsid w:val="00863AA4"/>
    <w:rsid w:val="00864E77"/>
    <w:rsid w:val="008664C1"/>
    <w:rsid w:val="00871566"/>
    <w:rsid w:val="0087284F"/>
    <w:rsid w:val="00883D51"/>
    <w:rsid w:val="0089256E"/>
    <w:rsid w:val="00896C16"/>
    <w:rsid w:val="008A027D"/>
    <w:rsid w:val="008A3679"/>
    <w:rsid w:val="008B47C0"/>
    <w:rsid w:val="008C6A6A"/>
    <w:rsid w:val="008C7A5E"/>
    <w:rsid w:val="008D040D"/>
    <w:rsid w:val="008D08A2"/>
    <w:rsid w:val="008D0FF5"/>
    <w:rsid w:val="008D2839"/>
    <w:rsid w:val="008D7F49"/>
    <w:rsid w:val="008E1421"/>
    <w:rsid w:val="008E1704"/>
    <w:rsid w:val="008E3E8A"/>
    <w:rsid w:val="008F6246"/>
    <w:rsid w:val="00902C38"/>
    <w:rsid w:val="00902D6D"/>
    <w:rsid w:val="0090584E"/>
    <w:rsid w:val="00907B45"/>
    <w:rsid w:val="00914FD3"/>
    <w:rsid w:val="00921831"/>
    <w:rsid w:val="009222DA"/>
    <w:rsid w:val="00926232"/>
    <w:rsid w:val="009346BD"/>
    <w:rsid w:val="00935F6B"/>
    <w:rsid w:val="009528CB"/>
    <w:rsid w:val="00952993"/>
    <w:rsid w:val="0098744B"/>
    <w:rsid w:val="009A0F07"/>
    <w:rsid w:val="009A466A"/>
    <w:rsid w:val="009B430E"/>
    <w:rsid w:val="009B485E"/>
    <w:rsid w:val="009B5021"/>
    <w:rsid w:val="009C0E40"/>
    <w:rsid w:val="009C6350"/>
    <w:rsid w:val="009D0DF4"/>
    <w:rsid w:val="009D4C8C"/>
    <w:rsid w:val="009F0AE9"/>
    <w:rsid w:val="009F4476"/>
    <w:rsid w:val="009F577D"/>
    <w:rsid w:val="00A1155B"/>
    <w:rsid w:val="00A20A1C"/>
    <w:rsid w:val="00A271D7"/>
    <w:rsid w:val="00A308A8"/>
    <w:rsid w:val="00A37AF8"/>
    <w:rsid w:val="00A421E0"/>
    <w:rsid w:val="00A4259A"/>
    <w:rsid w:val="00A42AF2"/>
    <w:rsid w:val="00A55E06"/>
    <w:rsid w:val="00A56D48"/>
    <w:rsid w:val="00A60AB6"/>
    <w:rsid w:val="00A637F3"/>
    <w:rsid w:val="00A700DA"/>
    <w:rsid w:val="00A718C4"/>
    <w:rsid w:val="00A841C3"/>
    <w:rsid w:val="00A91929"/>
    <w:rsid w:val="00A93FF1"/>
    <w:rsid w:val="00AA59DB"/>
    <w:rsid w:val="00AB10B3"/>
    <w:rsid w:val="00AB426D"/>
    <w:rsid w:val="00AD4555"/>
    <w:rsid w:val="00AD5632"/>
    <w:rsid w:val="00AE27F3"/>
    <w:rsid w:val="00AE3194"/>
    <w:rsid w:val="00AE668E"/>
    <w:rsid w:val="00AF1532"/>
    <w:rsid w:val="00AF54C4"/>
    <w:rsid w:val="00B05562"/>
    <w:rsid w:val="00B13E62"/>
    <w:rsid w:val="00B14473"/>
    <w:rsid w:val="00B15758"/>
    <w:rsid w:val="00B34E40"/>
    <w:rsid w:val="00B40232"/>
    <w:rsid w:val="00B41776"/>
    <w:rsid w:val="00B43AFB"/>
    <w:rsid w:val="00B54C3B"/>
    <w:rsid w:val="00B60C0F"/>
    <w:rsid w:val="00B63D30"/>
    <w:rsid w:val="00B670E2"/>
    <w:rsid w:val="00B725AA"/>
    <w:rsid w:val="00B7265D"/>
    <w:rsid w:val="00B75516"/>
    <w:rsid w:val="00B8516B"/>
    <w:rsid w:val="00B90C4A"/>
    <w:rsid w:val="00B91BE4"/>
    <w:rsid w:val="00BA4189"/>
    <w:rsid w:val="00BA6659"/>
    <w:rsid w:val="00BA6828"/>
    <w:rsid w:val="00BB635A"/>
    <w:rsid w:val="00BC097F"/>
    <w:rsid w:val="00BD4787"/>
    <w:rsid w:val="00BD651B"/>
    <w:rsid w:val="00BD7C56"/>
    <w:rsid w:val="00BE006F"/>
    <w:rsid w:val="00BE1345"/>
    <w:rsid w:val="00BF50FA"/>
    <w:rsid w:val="00BF5F7B"/>
    <w:rsid w:val="00BF6B20"/>
    <w:rsid w:val="00C02B09"/>
    <w:rsid w:val="00C06492"/>
    <w:rsid w:val="00C10F0E"/>
    <w:rsid w:val="00C25682"/>
    <w:rsid w:val="00C26B8E"/>
    <w:rsid w:val="00C304B5"/>
    <w:rsid w:val="00C358BA"/>
    <w:rsid w:val="00C51949"/>
    <w:rsid w:val="00C54A52"/>
    <w:rsid w:val="00C63435"/>
    <w:rsid w:val="00C704DA"/>
    <w:rsid w:val="00C72541"/>
    <w:rsid w:val="00C73849"/>
    <w:rsid w:val="00CA18F3"/>
    <w:rsid w:val="00CA1B06"/>
    <w:rsid w:val="00CA1DBD"/>
    <w:rsid w:val="00CA2522"/>
    <w:rsid w:val="00CA562C"/>
    <w:rsid w:val="00CA6CCB"/>
    <w:rsid w:val="00CA715A"/>
    <w:rsid w:val="00CB0D04"/>
    <w:rsid w:val="00CC2386"/>
    <w:rsid w:val="00CC443A"/>
    <w:rsid w:val="00CC49A7"/>
    <w:rsid w:val="00CD1C7D"/>
    <w:rsid w:val="00CD4620"/>
    <w:rsid w:val="00CE1197"/>
    <w:rsid w:val="00CF5518"/>
    <w:rsid w:val="00CF55F1"/>
    <w:rsid w:val="00CF77BF"/>
    <w:rsid w:val="00D04F6E"/>
    <w:rsid w:val="00D0593A"/>
    <w:rsid w:val="00D060F2"/>
    <w:rsid w:val="00D202B3"/>
    <w:rsid w:val="00D224D7"/>
    <w:rsid w:val="00D31ABD"/>
    <w:rsid w:val="00D32DE1"/>
    <w:rsid w:val="00D345A5"/>
    <w:rsid w:val="00D351F2"/>
    <w:rsid w:val="00D43F14"/>
    <w:rsid w:val="00D50838"/>
    <w:rsid w:val="00D52371"/>
    <w:rsid w:val="00D53B69"/>
    <w:rsid w:val="00D621A2"/>
    <w:rsid w:val="00D62DB8"/>
    <w:rsid w:val="00D650CC"/>
    <w:rsid w:val="00D72C98"/>
    <w:rsid w:val="00D7444E"/>
    <w:rsid w:val="00D82A72"/>
    <w:rsid w:val="00D85646"/>
    <w:rsid w:val="00D90B6A"/>
    <w:rsid w:val="00D945D1"/>
    <w:rsid w:val="00D94C6B"/>
    <w:rsid w:val="00D9547F"/>
    <w:rsid w:val="00D973B9"/>
    <w:rsid w:val="00DA7122"/>
    <w:rsid w:val="00DB1B0E"/>
    <w:rsid w:val="00DB52F5"/>
    <w:rsid w:val="00DB554A"/>
    <w:rsid w:val="00DC324B"/>
    <w:rsid w:val="00DD3DE4"/>
    <w:rsid w:val="00DD6CF4"/>
    <w:rsid w:val="00DF5512"/>
    <w:rsid w:val="00DF577B"/>
    <w:rsid w:val="00DF718E"/>
    <w:rsid w:val="00E00BA8"/>
    <w:rsid w:val="00E1003E"/>
    <w:rsid w:val="00E24FB6"/>
    <w:rsid w:val="00E32EDD"/>
    <w:rsid w:val="00E334A6"/>
    <w:rsid w:val="00E40CA2"/>
    <w:rsid w:val="00E461E4"/>
    <w:rsid w:val="00E60003"/>
    <w:rsid w:val="00E61492"/>
    <w:rsid w:val="00E6289B"/>
    <w:rsid w:val="00E81897"/>
    <w:rsid w:val="00E82C32"/>
    <w:rsid w:val="00E84388"/>
    <w:rsid w:val="00E84638"/>
    <w:rsid w:val="00E8543A"/>
    <w:rsid w:val="00E87615"/>
    <w:rsid w:val="00E8779B"/>
    <w:rsid w:val="00EB7270"/>
    <w:rsid w:val="00EC47ED"/>
    <w:rsid w:val="00ED20CE"/>
    <w:rsid w:val="00ED609C"/>
    <w:rsid w:val="00EE3178"/>
    <w:rsid w:val="00EE6A24"/>
    <w:rsid w:val="00EF33C7"/>
    <w:rsid w:val="00EF717B"/>
    <w:rsid w:val="00F013DC"/>
    <w:rsid w:val="00F0742B"/>
    <w:rsid w:val="00F15B5A"/>
    <w:rsid w:val="00F16B53"/>
    <w:rsid w:val="00F16F6A"/>
    <w:rsid w:val="00F26BFA"/>
    <w:rsid w:val="00F33905"/>
    <w:rsid w:val="00F3540E"/>
    <w:rsid w:val="00F42347"/>
    <w:rsid w:val="00F4525C"/>
    <w:rsid w:val="00F47146"/>
    <w:rsid w:val="00F521A0"/>
    <w:rsid w:val="00F552D4"/>
    <w:rsid w:val="00F62631"/>
    <w:rsid w:val="00F70563"/>
    <w:rsid w:val="00F80A6A"/>
    <w:rsid w:val="00F8768B"/>
    <w:rsid w:val="00F927B8"/>
    <w:rsid w:val="00F94102"/>
    <w:rsid w:val="00F97F6C"/>
    <w:rsid w:val="00FB0F53"/>
    <w:rsid w:val="00FB5A82"/>
    <w:rsid w:val="00FC3468"/>
    <w:rsid w:val="00FD4A94"/>
    <w:rsid w:val="00FD54CE"/>
    <w:rsid w:val="00FD7D39"/>
    <w:rsid w:val="00FE0A9C"/>
    <w:rsid w:val="00FE2BCC"/>
    <w:rsid w:val="00FE2EAC"/>
    <w:rsid w:val="00FE48AB"/>
    <w:rsid w:val="00FF36D3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AB679"/>
  <w15:chartTrackingRefBased/>
  <w15:docId w15:val="{D342FD25-9E38-4D7A-830A-386A1D2E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-1094"/>
        <w:tab w:val="left" w:pos="402"/>
        <w:tab w:val="left" w:pos="720"/>
        <w:tab w:val="left" w:pos="3110"/>
        <w:tab w:val="left" w:pos="3312"/>
        <w:tab w:val="left" w:pos="4680"/>
        <w:tab w:val="left" w:pos="5760"/>
      </w:tabs>
      <w:spacing w:line="360" w:lineRule="auto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508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508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i/>
    </w:rPr>
  </w:style>
  <w:style w:type="paragraph" w:styleId="Retraitcorpsdetexte">
    <w:name w:val="Body Text Indent"/>
    <w:basedOn w:val="Normal"/>
    <w:pPr>
      <w:tabs>
        <w:tab w:val="left" w:pos="-1094"/>
        <w:tab w:val="left" w:pos="402"/>
        <w:tab w:val="left" w:pos="720"/>
        <w:tab w:val="left" w:pos="3110"/>
        <w:tab w:val="left" w:pos="3312"/>
        <w:tab w:val="left" w:pos="4680"/>
        <w:tab w:val="left" w:pos="5760"/>
      </w:tabs>
      <w:ind w:left="4680" w:hanging="4680"/>
    </w:pPr>
  </w:style>
  <w:style w:type="paragraph" w:styleId="Retraitcorpsdetexte2">
    <w:name w:val="Body Text Indent 2"/>
    <w:basedOn w:val="Normal"/>
    <w:pPr>
      <w:tabs>
        <w:tab w:val="left" w:pos="-1094"/>
        <w:tab w:val="left" w:pos="720"/>
        <w:tab w:val="left" w:pos="3110"/>
        <w:tab w:val="left" w:pos="3312"/>
        <w:tab w:val="left" w:pos="4680"/>
        <w:tab w:val="left" w:pos="5760"/>
      </w:tabs>
      <w:spacing w:line="360" w:lineRule="auto"/>
      <w:ind w:firstLine="405"/>
    </w:pPr>
  </w:style>
  <w:style w:type="paragraph" w:styleId="Listepuces">
    <w:name w:val="List Bullet"/>
    <w:basedOn w:val="Normal"/>
    <w:rsid w:val="00DD3DE4"/>
    <w:pPr>
      <w:numPr>
        <w:numId w:val="1"/>
      </w:numPr>
    </w:pPr>
  </w:style>
  <w:style w:type="paragraph" w:styleId="Textedebulles">
    <w:name w:val="Balloon Text"/>
    <w:basedOn w:val="Normal"/>
    <w:link w:val="TextedebullesCar"/>
    <w:rsid w:val="008D7F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D7F49"/>
    <w:rPr>
      <w:rFonts w:ascii="Segoe UI" w:hAnsi="Segoe UI" w:cs="Segoe UI"/>
      <w:sz w:val="18"/>
      <w:szCs w:val="18"/>
      <w:lang w:eastAsia="fr-FR"/>
    </w:rPr>
  </w:style>
  <w:style w:type="character" w:customStyle="1" w:styleId="Titre2Car">
    <w:name w:val="Titre 2 Car"/>
    <w:link w:val="Titre2"/>
    <w:semiHidden/>
    <w:rsid w:val="00D508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link w:val="Titre3"/>
    <w:semiHidden/>
    <w:rsid w:val="00D50838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styleId="Marquedecommentaire">
    <w:name w:val="annotation reference"/>
    <w:uiPriority w:val="99"/>
    <w:rsid w:val="00D508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50838"/>
    <w:pPr>
      <w:widowControl w:val="0"/>
      <w:spacing w:line="240" w:lineRule="exact"/>
      <w:jc w:val="both"/>
    </w:pPr>
    <w:rPr>
      <w:rFonts w:ascii="Times New Roman" w:hAnsi="Times New Roman"/>
      <w:sz w:val="20"/>
    </w:rPr>
  </w:style>
  <w:style w:type="character" w:customStyle="1" w:styleId="CommentaireCar">
    <w:name w:val="Commentaire Car"/>
    <w:link w:val="Commentaire"/>
    <w:uiPriority w:val="99"/>
    <w:rsid w:val="00D50838"/>
    <w:rPr>
      <w:lang w:eastAsia="fr-FR"/>
    </w:rPr>
  </w:style>
  <w:style w:type="paragraph" w:styleId="Paragraphedeliste">
    <w:name w:val="List Paragraph"/>
    <w:basedOn w:val="Normal"/>
    <w:uiPriority w:val="34"/>
    <w:qFormat/>
    <w:rsid w:val="00D50838"/>
    <w:pPr>
      <w:widowControl w:val="0"/>
      <w:spacing w:line="240" w:lineRule="exact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0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CA"/>
    </w:rPr>
  </w:style>
  <w:style w:type="paragraph" w:styleId="Titre">
    <w:name w:val="Title"/>
    <w:basedOn w:val="Normal"/>
    <w:next w:val="Normal"/>
    <w:link w:val="TitreCar"/>
    <w:qFormat/>
    <w:rsid w:val="00B63D3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B63D30"/>
    <w:rPr>
      <w:rFonts w:ascii="Calibri Light" w:eastAsia="Times New Roman" w:hAnsi="Calibri Light" w:cs="Times New Roman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B63D3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B63D30"/>
    <w:rPr>
      <w:rFonts w:ascii="Calibri Light" w:eastAsia="Times New Roman" w:hAnsi="Calibri Light" w:cs="Times New Roman"/>
      <w:sz w:val="24"/>
      <w:szCs w:val="24"/>
      <w:lang w:eastAsia="fr-FR"/>
    </w:rPr>
  </w:style>
  <w:style w:type="character" w:styleId="Accentuation">
    <w:name w:val="Emphasis"/>
    <w:qFormat/>
    <w:rsid w:val="00B63D30"/>
    <w:rPr>
      <w:i/>
      <w:iCs/>
    </w:rPr>
  </w:style>
  <w:style w:type="paragraph" w:customStyle="1" w:styleId="Default">
    <w:name w:val="Default"/>
    <w:rsid w:val="008F624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rsid w:val="00496E32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96E32"/>
    <w:rPr>
      <w:rFonts w:ascii="Arial" w:hAnsi="Arial"/>
      <w:sz w:val="22"/>
      <w:lang w:val="fr-CA" w:eastAsia="fr-FR"/>
    </w:rPr>
  </w:style>
  <w:style w:type="paragraph" w:styleId="Pieddepage">
    <w:name w:val="footer"/>
    <w:basedOn w:val="Normal"/>
    <w:link w:val="PieddepageCar"/>
    <w:rsid w:val="00496E3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496E32"/>
    <w:rPr>
      <w:rFonts w:ascii="Arial" w:hAnsi="Arial"/>
      <w:sz w:val="22"/>
      <w:lang w:val="fr-CA" w:eastAsia="fr-FR"/>
    </w:rPr>
  </w:style>
  <w:style w:type="paragraph" w:styleId="Corpsdetexte">
    <w:name w:val="Body Text"/>
    <w:basedOn w:val="Normal"/>
    <w:link w:val="CorpsdetexteCar"/>
    <w:rsid w:val="004E4619"/>
    <w:pPr>
      <w:spacing w:after="120"/>
    </w:pPr>
  </w:style>
  <w:style w:type="character" w:customStyle="1" w:styleId="CorpsdetexteCar">
    <w:name w:val="Corps de texte Car"/>
    <w:link w:val="Corpsdetexte"/>
    <w:rsid w:val="004E4619"/>
    <w:rPr>
      <w:rFonts w:ascii="Arial" w:hAnsi="Arial"/>
      <w:sz w:val="22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F471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471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rsid w:val="00CB0D04"/>
    <w:pPr>
      <w:widowControl/>
      <w:spacing w:line="240" w:lineRule="auto"/>
      <w:jc w:val="left"/>
    </w:pPr>
    <w:rPr>
      <w:rFonts w:ascii="Arial" w:hAnsi="Arial"/>
      <w:b/>
      <w:bCs/>
    </w:rPr>
  </w:style>
  <w:style w:type="character" w:customStyle="1" w:styleId="ObjetducommentaireCar">
    <w:name w:val="Objet du commentaire Car"/>
    <w:link w:val="Objetducommentaire"/>
    <w:rsid w:val="00CB0D04"/>
    <w:rPr>
      <w:rFonts w:ascii="Arial" w:hAnsi="Arial"/>
      <w:b/>
      <w:bCs/>
      <w:lang w:eastAsia="fr-FR"/>
    </w:rPr>
  </w:style>
  <w:style w:type="paragraph" w:customStyle="1" w:styleId="Alina">
    <w:name w:val="Alinéa"/>
    <w:basedOn w:val="Normal"/>
    <w:link w:val="AlinaCar"/>
    <w:qFormat/>
    <w:rsid w:val="00210854"/>
    <w:pPr>
      <w:spacing w:after="120"/>
      <w:ind w:left="624"/>
      <w:jc w:val="both"/>
    </w:pPr>
    <w:rPr>
      <w:rFonts w:eastAsia="Calibri" w:cs="Arial"/>
      <w:sz w:val="20"/>
      <w:lang w:eastAsia="en-US"/>
    </w:rPr>
  </w:style>
  <w:style w:type="character" w:customStyle="1" w:styleId="AlinaCar">
    <w:name w:val="Alinéa Car"/>
    <w:link w:val="Alina"/>
    <w:rsid w:val="00210854"/>
    <w:rPr>
      <w:rFonts w:ascii="Arial" w:eastAsia="Calibri" w:hAnsi="Arial" w:cs="Arial"/>
      <w:lang w:eastAsia="en-US"/>
    </w:rPr>
  </w:style>
  <w:style w:type="table" w:styleId="Grilledutableau">
    <w:name w:val="Table Grid"/>
    <w:basedOn w:val="TableauNormal"/>
    <w:rsid w:val="00F8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14CB-DEAE-4808-BFD8-E03696A4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1186</Words>
  <Characters>5670</Characters>
  <Application>Microsoft Office Word</Application>
  <DocSecurity>0</DocSecurity>
  <Lines>157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CANADA</vt:lpstr>
    </vt:vector>
  </TitlesOfParts>
  <Company>St-Jean Baptiste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:subject/>
  <dc:creator>Utilisateur</dc:creator>
  <cp:keywords/>
  <cp:lastModifiedBy>Eliane Parent-Vigneault</cp:lastModifiedBy>
  <cp:revision>9</cp:revision>
  <cp:lastPrinted>2025-05-06T20:13:00Z</cp:lastPrinted>
  <dcterms:created xsi:type="dcterms:W3CDTF">2025-05-06T18:32:00Z</dcterms:created>
  <dcterms:modified xsi:type="dcterms:W3CDTF">2026-06-10T14:16:00Z</dcterms:modified>
</cp:coreProperties>
</file>